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7061" w14:textId="77777777" w:rsidR="003D3D49" w:rsidRDefault="006118BF">
      <w:pPr>
        <w:pStyle w:val="Header"/>
        <w:jc w:val="center"/>
      </w:pPr>
      <w:r>
        <w:rPr>
          <w:noProof/>
          <w:lang w:val="en-US" w:eastAsia="en-US" w:bidi="ar-SA"/>
        </w:rPr>
        <mc:AlternateContent>
          <mc:Choice Requires="wps">
            <w:drawing>
              <wp:anchor distT="0" distB="0" distL="0" distR="0" simplePos="0" relativeHeight="251656704" behindDoc="0" locked="0" layoutInCell="1" allowOverlap="1" wp14:anchorId="077A503C" wp14:editId="7A64C3D1">
                <wp:simplePos x="0" y="0"/>
                <wp:positionH relativeFrom="column">
                  <wp:posOffset>0</wp:posOffset>
                </wp:positionH>
                <wp:positionV relativeFrom="paragraph">
                  <wp:posOffset>635</wp:posOffset>
                </wp:positionV>
                <wp:extent cx="635000" cy="635000"/>
                <wp:effectExtent l="0"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_x0000_tole_rId2"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r>
      <w:r>
        <w:rPr>
          <w:noProof/>
          <w:lang w:val="en-US" w:eastAsia="en-US" w:bidi="ar-SA"/>
        </w:rPr>
        <mc:AlternateContent>
          <mc:Choice Requires="wps">
            <w:drawing>
              <wp:anchor distT="0" distB="0" distL="0" distR="0" simplePos="0" relativeHeight="251657728" behindDoc="0" locked="0" layoutInCell="1" allowOverlap="1" wp14:anchorId="06B927B5" wp14:editId="08350B1F">
                <wp:simplePos x="0" y="0"/>
                <wp:positionH relativeFrom="column">
                  <wp:posOffset>-40005</wp:posOffset>
                </wp:positionH>
                <wp:positionV relativeFrom="paragraph">
                  <wp:posOffset>-152400</wp:posOffset>
                </wp:positionV>
                <wp:extent cx="980440" cy="796290"/>
                <wp:effectExtent l="0" t="0" r="0" b="0"/>
                <wp:wrapNone/>
                <wp:docPr id="2" name="ole_rId2"/>
                <wp:cNvGraphicFramePr/>
                <a:graphic xmlns:a="http://schemas.openxmlformats.org/drawingml/2006/main">
                  <a:graphicData uri="http://schemas.microsoft.com/office/word/2010/wordprocessingShape">
                    <wps:wsp>
                      <wps:cNvSpPr/>
                      <wps:spPr>
                        <a:xfrm>
                          <a:off x="0" y="0"/>
                          <a:ext cx="980280" cy="79632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rect id="shape_0" ID="ole_rId2" path="m0,0l-2147483645,0l-2147483645,-2147483646l0,-2147483646xe" fillcolor="white" stroked="f" o:allowincell="f" style="position:absolute;margin-left:-3.15pt;margin-top:-12pt;width:77.15pt;height:62.65pt;mso-wrap-style:none;v-text-anchor:middle">
                <v:fill o:detectmouseclick="t" type="solid" color2="black"/>
                <v:stroke color="#3465a4" joinstyle="round" endcap="flat"/>
                <w10:wrap type="none"/>
              </v:rect>
            </w:pict>
          </mc:Fallback>
        </mc:AlternateContent>
      </w:r>
      <w:r w:rsidR="00000000">
        <w:pict w14:anchorId="75F858DC">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000000">
        <w:object w:dxaOrig="1223" w:dyaOrig="1224" w14:anchorId="5375DD64">
          <v:shape id="ole_rId2" o:spid="_x0000_s1026" type="#_x0000_tole_rId2" style="position:absolute;left:0;text-align:left;margin-left:9.2pt;margin-top:3.95pt;width:45pt;height:54pt;z-index:251659776;mso-wrap-distance-right:0;mso-position-horizontal-relative:text;mso-position-vertical-relative:text" o:spt="75" o:preferrelative="t" path="m@4@5l@4@11@9@11@9@5xe" filled="t" fillcolor="whit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o:OLEObject Type="Embed" ProgID="PBrush" ShapeID="ole_rId2" DrawAspect="Content" ObjectID="_1844844724" r:id="rId5"/>
        </w:object>
      </w:r>
      <w:r>
        <w:rPr>
          <w:bCs/>
          <w:spacing w:val="10"/>
          <w:sz w:val="22"/>
          <w:szCs w:val="22"/>
          <w:lang w:val="lv-LV"/>
        </w:rPr>
        <w:t>LATVIJAS REPUBLIKA</w:t>
      </w:r>
    </w:p>
    <w:p w14:paraId="1D420824" w14:textId="77777777" w:rsidR="003D3D49" w:rsidRDefault="006118BF">
      <w:pPr>
        <w:pStyle w:val="Header"/>
        <w:jc w:val="center"/>
        <w:rPr>
          <w:b/>
          <w:spacing w:val="10"/>
          <w:sz w:val="28"/>
          <w:szCs w:val="22"/>
          <w:lang w:val="lv-LV"/>
        </w:rPr>
      </w:pPr>
      <w:r>
        <w:rPr>
          <w:b/>
          <w:spacing w:val="10"/>
          <w:sz w:val="28"/>
          <w:szCs w:val="22"/>
          <w:lang w:val="lv-LV"/>
        </w:rPr>
        <w:t>SIA „DOBELES ENERĢIJA“</w:t>
      </w:r>
    </w:p>
    <w:p w14:paraId="093F0AD3" w14:textId="77777777" w:rsidR="003D3D49" w:rsidRDefault="006118BF">
      <w:pPr>
        <w:jc w:val="center"/>
        <w:rPr>
          <w:sz w:val="20"/>
        </w:rPr>
      </w:pPr>
      <w:r>
        <w:rPr>
          <w:sz w:val="20"/>
        </w:rPr>
        <w:t xml:space="preserve">Spodrības iela 4a, Dobele, Dobeles novads, LV-3701, </w:t>
      </w:r>
    </w:p>
    <w:p w14:paraId="528EE78A" w14:textId="77777777" w:rsidR="003D3D49" w:rsidRDefault="006118BF">
      <w:pPr>
        <w:jc w:val="center"/>
        <w:rPr>
          <w:sz w:val="20"/>
        </w:rPr>
      </w:pPr>
      <w:r>
        <w:rPr>
          <w:sz w:val="20"/>
        </w:rPr>
        <w:t>Vien. Reģ. Nr. 45103002039, PVN LV 45103002039,</w:t>
      </w:r>
    </w:p>
    <w:p w14:paraId="4F557D63" w14:textId="77777777" w:rsidR="003D3D49" w:rsidRDefault="006118BF">
      <w:pPr>
        <w:jc w:val="center"/>
      </w:pPr>
      <w:r>
        <w:rPr>
          <w:noProof/>
          <w:lang w:val="en-US" w:eastAsia="en-US" w:bidi="ar-SA"/>
        </w:rPr>
        <mc:AlternateContent>
          <mc:Choice Requires="wps">
            <w:drawing>
              <wp:anchor distT="5080" distB="5080" distL="635" distR="0" simplePos="0" relativeHeight="251655680" behindDoc="0" locked="0" layoutInCell="1" allowOverlap="1" wp14:anchorId="6BBB2DB3" wp14:editId="06D52D35">
                <wp:simplePos x="0" y="0"/>
                <wp:positionH relativeFrom="column">
                  <wp:posOffset>-324485</wp:posOffset>
                </wp:positionH>
                <wp:positionV relativeFrom="paragraph">
                  <wp:posOffset>170815</wp:posOffset>
                </wp:positionV>
                <wp:extent cx="6757035" cy="7620"/>
                <wp:effectExtent l="635" t="5080" r="0" b="5080"/>
                <wp:wrapNone/>
                <wp:docPr id="3" name="Image1"/>
                <wp:cNvGraphicFramePr/>
                <a:graphic xmlns:a="http://schemas.openxmlformats.org/drawingml/2006/main">
                  <a:graphicData uri="http://schemas.microsoft.com/office/word/2010/wordprocessingShape">
                    <wps:wsp>
                      <wps:cNvCnPr/>
                      <wps:spPr>
                        <a:xfrm>
                          <a:off x="0" y="0"/>
                          <a:ext cx="6757200" cy="75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5.55pt,13.45pt" to="506.45pt,14pt" ID="Image1" stroked="t" o:allowincell="f" style="position:absolute">
                <v:stroke color="black" weight="9360" joinstyle="miter" endcap="flat"/>
                <v:fill o:detectmouseclick="t" on="false"/>
                <w10:wrap type="none"/>
              </v:line>
            </w:pict>
          </mc:Fallback>
        </mc:AlternateContent>
      </w:r>
      <w:r>
        <w:rPr>
          <w:sz w:val="20"/>
        </w:rPr>
        <w:t xml:space="preserve"> SEB Banka, Bankas kods – UNLALV2X, Norēķinu konta Nr. LV13 UNLA 0006 0002 0620 1,</w:t>
      </w:r>
    </w:p>
    <w:p w14:paraId="1DB81A28" w14:textId="77777777" w:rsidR="003D3D49" w:rsidRDefault="003D3D49">
      <w:pPr>
        <w:pStyle w:val="Heading1"/>
        <w:numPr>
          <w:ilvl w:val="0"/>
          <w:numId w:val="1"/>
        </w:numPr>
        <w:jc w:val="left"/>
      </w:pPr>
    </w:p>
    <w:tbl>
      <w:tblPr>
        <w:tblW w:w="8522" w:type="dxa"/>
        <w:jc w:val="center"/>
        <w:tblLayout w:type="fixed"/>
        <w:tblLook w:val="0000" w:firstRow="0" w:lastRow="0" w:firstColumn="0" w:lastColumn="0" w:noHBand="0" w:noVBand="0"/>
      </w:tblPr>
      <w:tblGrid>
        <w:gridCol w:w="4262"/>
        <w:gridCol w:w="4260"/>
      </w:tblGrid>
      <w:tr w:rsidR="003D3D49" w14:paraId="134E4B47" w14:textId="77777777">
        <w:trPr>
          <w:jc w:val="center"/>
        </w:trPr>
        <w:tc>
          <w:tcPr>
            <w:tcW w:w="4261" w:type="dxa"/>
          </w:tcPr>
          <w:p w14:paraId="3AD0262E" w14:textId="77777777" w:rsidR="003D3D49" w:rsidRDefault="006118BF">
            <w:pPr>
              <w:pStyle w:val="Header"/>
              <w:widowControl w:val="0"/>
            </w:pPr>
            <w:r>
              <w:rPr>
                <w:sz w:val="24"/>
                <w:szCs w:val="24"/>
                <w:lang w:val="lv-LV"/>
              </w:rPr>
              <w:t>Dobele</w:t>
            </w:r>
          </w:p>
        </w:tc>
        <w:tc>
          <w:tcPr>
            <w:tcW w:w="4260" w:type="dxa"/>
          </w:tcPr>
          <w:p w14:paraId="5E558EA5" w14:textId="77777777" w:rsidR="003D3D49" w:rsidRDefault="006118BF">
            <w:pPr>
              <w:widowControl w:val="0"/>
              <w:jc w:val="right"/>
            </w:pPr>
            <w:r>
              <w:t xml:space="preserve"> 2026. gada 30.jūnijs</w:t>
            </w:r>
          </w:p>
        </w:tc>
      </w:tr>
    </w:tbl>
    <w:p w14:paraId="45CBF0EC" w14:textId="77777777" w:rsidR="003D3D49" w:rsidRDefault="003D3D49">
      <w:pPr>
        <w:jc w:val="right"/>
      </w:pPr>
    </w:p>
    <w:p w14:paraId="3BE65657" w14:textId="77777777" w:rsidR="003D3D49" w:rsidRDefault="003D3D49">
      <w:pPr>
        <w:jc w:val="right"/>
      </w:pPr>
    </w:p>
    <w:p w14:paraId="4E310AD6" w14:textId="0E418AF9" w:rsidR="003D3D49" w:rsidRPr="00B6550D" w:rsidRDefault="006118BF">
      <w:pPr>
        <w:jc w:val="both"/>
        <w:rPr>
          <w:b/>
          <w:bCs/>
        </w:rPr>
      </w:pPr>
      <w:r>
        <w:rPr>
          <w:b/>
          <w:bCs/>
        </w:rPr>
        <w:t>Atbildes uz jautājumiem</w:t>
      </w:r>
      <w:r>
        <w:t xml:space="preserve"> </w:t>
      </w:r>
    </w:p>
    <w:p w14:paraId="4A7983D7" w14:textId="77777777" w:rsidR="003D3D49" w:rsidRDefault="003D3D49"/>
    <w:p w14:paraId="32C3AF9D" w14:textId="77777777" w:rsidR="003D3D49" w:rsidRDefault="006118BF">
      <w:pPr>
        <w:jc w:val="both"/>
      </w:pPr>
      <w:r>
        <w:rPr>
          <w:b/>
          <w:bCs/>
        </w:rPr>
        <w:t>1. Jautājums -</w:t>
      </w:r>
      <w:r>
        <w:rPr>
          <w:b/>
          <w:bCs/>
          <w:i/>
          <w:iCs/>
        </w:rPr>
        <w:t xml:space="preserve"> </w:t>
      </w:r>
      <w:r>
        <w:rPr>
          <w:i/>
          <w:iCs/>
        </w:rPr>
        <w:t>Lūdzam paskaidrot, kāda veida ielādes sistēma jaunpiegādājamā katliekārtā ir prasīta, jo vizuāli būvprojekta sastāvā redzams, ka izzīmēta ir hidrauliska ielāde, savukārt aprakstā ir gliemežtransportiera ielāde.</w:t>
      </w:r>
    </w:p>
    <w:p w14:paraId="1834F214" w14:textId="77777777" w:rsidR="003D3D49" w:rsidRDefault="006118BF">
      <w:pPr>
        <w:jc w:val="both"/>
      </w:pPr>
      <w:r>
        <w:tab/>
      </w:r>
      <w:r>
        <w:rPr>
          <w:b/>
          <w:bCs/>
        </w:rPr>
        <w:t xml:space="preserve">Atbilde: </w:t>
      </w:r>
      <w:r>
        <w:t xml:space="preserve">Ņemt vērā Tehniskās specifikācijas aprakstā norādīto ievades sistēmu - gliemežtransportiera ielādes sistēma (tā ir paredzēta būvniecības 1. kārtai). Būvprojekta minimālā sastāvā  minētā ielādes sistēma tiek attiecināta uz būvniecības 2. kārtu. </w:t>
      </w:r>
    </w:p>
    <w:p w14:paraId="4237AD27" w14:textId="77777777" w:rsidR="003D3D49" w:rsidRDefault="003D3D49">
      <w:pPr>
        <w:jc w:val="both"/>
      </w:pPr>
    </w:p>
    <w:p w14:paraId="6CFA7A5F" w14:textId="77777777" w:rsidR="003D3D49" w:rsidRDefault="006118BF">
      <w:pPr>
        <w:jc w:val="both"/>
      </w:pPr>
      <w:r>
        <w:rPr>
          <w:b/>
          <w:bCs/>
        </w:rPr>
        <w:t>2. Jautājums</w:t>
      </w:r>
      <w:r>
        <w:t xml:space="preserve"> - </w:t>
      </w:r>
      <w:r>
        <w:rPr>
          <w:i/>
          <w:iCs/>
        </w:rPr>
        <w:t>No kurināmā glabāšanas novietnes līdz “Komforts” katliem saglabāt esošo kurināmā padeves sistēmu. Lūdzam paskaidrot, vai šis teikums ir kādā mērā saistošs pie jaunpiegādājamā katla izvietojuma, izejmateriāla padeves sistēmas izveides? Kur un kāds ir esošais ķēdes konveijers?</w:t>
      </w:r>
    </w:p>
    <w:p w14:paraId="60357A1B" w14:textId="77777777" w:rsidR="003D3D49" w:rsidRDefault="006118BF">
      <w:pPr>
        <w:jc w:val="both"/>
      </w:pPr>
      <w:r>
        <w:tab/>
      </w:r>
      <w:r>
        <w:rPr>
          <w:b/>
          <w:bCs/>
        </w:rPr>
        <w:t>Atbilde:</w:t>
      </w:r>
      <w:r>
        <w:t xml:space="preserve"> Ir jāsaglabā esošā kurināmā padeves sistēma līdz esošajam "Komforts" katlam. Šī prasība nav attiecināma uz jaunpiegādājamā katla izvietojumu vai tā kurināmā padeves sistēmas izveidi. Ar ķēdes konveijera atrašanās vietu un tehniskajiem parametriem iespējams iepazīties, apsekojot objektu klātienē. </w:t>
      </w:r>
    </w:p>
    <w:p w14:paraId="7E9A57B7" w14:textId="77777777" w:rsidR="003D3D49" w:rsidRDefault="006118BF">
      <w:pPr>
        <w:jc w:val="both"/>
        <w:rPr>
          <w:b/>
          <w:bCs/>
        </w:rPr>
      </w:pPr>
      <w:r>
        <w:rPr>
          <w:b/>
          <w:bCs/>
        </w:rPr>
        <w:tab/>
      </w:r>
    </w:p>
    <w:p w14:paraId="0223F5A1" w14:textId="77777777" w:rsidR="003D3D49" w:rsidRDefault="006118BF">
      <w:pPr>
        <w:jc w:val="both"/>
      </w:pPr>
      <w:r>
        <w:rPr>
          <w:b/>
          <w:bCs/>
        </w:rPr>
        <w:t xml:space="preserve">3. Jautājums - </w:t>
      </w:r>
      <w:r>
        <w:rPr>
          <w:i/>
          <w:iCs/>
        </w:rPr>
        <w:t>Lūdzam paskaidrot, vai TS ir prasība, ka kustīgo ārdu sistēma ir ar ūdensdzesi?</w:t>
      </w:r>
    </w:p>
    <w:p w14:paraId="3892D590" w14:textId="77777777" w:rsidR="003D3D49" w:rsidRDefault="006118BF">
      <w:pPr>
        <w:jc w:val="both"/>
        <w:rPr>
          <w:i/>
          <w:iCs/>
        </w:rPr>
      </w:pPr>
      <w:r>
        <w:rPr>
          <w:i/>
          <w:iCs/>
        </w:rPr>
        <w:t>Kurtuves darbību nedrīkst ietekmēt svešķermeņi, kas nejauši var nonākt kurināmā padeves sistēmā no atdalīšanas sistēmas (piemēram, metāla gabali, smiltis, akmeņi utt.). Tas pats attiecas arī uz pelnu novākšanas sistēmu. Lūdzam paskaidrot, par kādu atdalīšanas sistēmu ir apraksts? Lūdzam paskaidrot, vai kurtuve paredzēta ar ūdens dzeses apvalku?</w:t>
      </w:r>
    </w:p>
    <w:p w14:paraId="7417D85E" w14:textId="77777777" w:rsidR="003D3D49" w:rsidRDefault="006118BF">
      <w:pPr>
        <w:jc w:val="both"/>
      </w:pPr>
      <w:r>
        <w:tab/>
      </w:r>
      <w:r>
        <w:rPr>
          <w:b/>
          <w:bCs/>
        </w:rPr>
        <w:t xml:space="preserve">Atbilde: </w:t>
      </w:r>
      <w:r>
        <w:t>Kustīgo ārdu sistēmai jābūt dzesējamai ar siltumnesēju, taču specifiski nav noteikts konstruktīvais risinājums.</w:t>
      </w:r>
    </w:p>
    <w:p w14:paraId="51D483EF" w14:textId="77777777" w:rsidR="003D3D49" w:rsidRDefault="006118BF">
      <w:pPr>
        <w:pStyle w:val="BodyText"/>
        <w:spacing w:after="0"/>
        <w:jc w:val="both"/>
      </w:pPr>
      <w:r>
        <w:tab/>
        <w:t>Atdalīšanas sistēmai jāparedz tehnoloģisks risinājums saprātīgā apjomā (piemēram, siets, magnēts vai līdzvērtīgs risinājums), kas nodrošina svešķermeņu neiekļūšanu kurtuvē un novērš iespējamos iekārtas darbības traucējumus, tostarp arī pelnu novākšanas sistēmā.</w:t>
      </w:r>
    </w:p>
    <w:p w14:paraId="60D65657" w14:textId="77777777" w:rsidR="003D3D49" w:rsidRDefault="006118BF">
      <w:pPr>
        <w:pStyle w:val="BodyText"/>
        <w:spacing w:after="26"/>
        <w:jc w:val="both"/>
      </w:pPr>
      <w:r>
        <w:tab/>
        <w:t>Kurtuve ir paredzēta ar ūdens dzeses apvalku.</w:t>
      </w:r>
    </w:p>
    <w:p w14:paraId="19BB44BD" w14:textId="77777777" w:rsidR="003D3D49" w:rsidRDefault="003D3D49">
      <w:pPr>
        <w:pStyle w:val="BodyText"/>
        <w:spacing w:after="26"/>
        <w:jc w:val="both"/>
      </w:pPr>
    </w:p>
    <w:p w14:paraId="4048C72C" w14:textId="77777777" w:rsidR="003D3D49" w:rsidRDefault="006118BF">
      <w:pPr>
        <w:jc w:val="both"/>
      </w:pPr>
      <w:r>
        <w:rPr>
          <w:b/>
          <w:bCs/>
        </w:rPr>
        <w:t xml:space="preserve">4. Jautājums </w:t>
      </w:r>
      <w:r>
        <w:t>-</w:t>
      </w:r>
      <w:r>
        <w:rPr>
          <w:i/>
          <w:iCs/>
        </w:rPr>
        <w:t xml:space="preserve"> Lūdzam paskaidrot cik un kādus pelnu konteinerus ir jāpiedāvā. </w:t>
      </w:r>
    </w:p>
    <w:p w14:paraId="430DCBE2" w14:textId="77777777" w:rsidR="003D3D49" w:rsidRDefault="006118BF">
      <w:pPr>
        <w:jc w:val="both"/>
        <w:rPr>
          <w:b/>
          <w:bCs/>
        </w:rPr>
      </w:pPr>
      <w:r>
        <w:rPr>
          <w:b/>
          <w:bCs/>
        </w:rPr>
        <w:tab/>
        <w:t xml:space="preserve">Atbilde: </w:t>
      </w:r>
      <w:r>
        <w:t xml:space="preserve">Minimālā prasība ir nodrošināt divus atsevišķus 10 m3 slēgtus konteinerus (viens pildās, otrs rezervē) un divus atsevišķus slēgtus konteinerus elektrostatiskajam filtram (viens pildās, otrs rezervē) – vismaz 5 m3.  Konteineriem jābūt paceļamiem ar būvgružu izvešanas mašīnu. </w:t>
      </w:r>
    </w:p>
    <w:p w14:paraId="03538255" w14:textId="77777777" w:rsidR="003D3D49" w:rsidRDefault="003D3D49">
      <w:pPr>
        <w:jc w:val="both"/>
        <w:rPr>
          <w:b/>
          <w:bCs/>
        </w:rPr>
      </w:pPr>
    </w:p>
    <w:p w14:paraId="35BBB991" w14:textId="77777777" w:rsidR="003D3D49" w:rsidRDefault="006118BF">
      <w:pPr>
        <w:jc w:val="both"/>
      </w:pPr>
      <w:r>
        <w:rPr>
          <w:b/>
          <w:bCs/>
        </w:rPr>
        <w:t xml:space="preserve">5. Jautājums </w:t>
      </w:r>
      <w:r>
        <w:t xml:space="preserve">- </w:t>
      </w:r>
      <w:r>
        <w:rPr>
          <w:i/>
          <w:iCs/>
        </w:rPr>
        <w:t xml:space="preserve">Lūdzam paskaidrot par multiciklonu skaitu, jo nekādu otru katlu būvprojektā vai aprakstošā daļā neminat, tāpat arī elektrostatiskā filtra jauda nav zināma, ja tas jāsaslēdz ar kādu eksistējošo jeb nākotnes katlu. </w:t>
      </w:r>
    </w:p>
    <w:p w14:paraId="7DCABC7A" w14:textId="77777777" w:rsidR="003D3D49" w:rsidRDefault="006118BF">
      <w:pPr>
        <w:jc w:val="both"/>
      </w:pPr>
      <w:r>
        <w:rPr>
          <w:b/>
          <w:bCs/>
        </w:rPr>
        <w:tab/>
        <w:t xml:space="preserve">Atbilde: </w:t>
      </w:r>
      <w:r>
        <w:t xml:space="preserve">Uz iepirkumu attiecināmais uzstādāmo multiciklonu skaits būvniecības 1. kārtā ir viens, atbilstoši uzstādāmo katlu skaitam. Elektrostatiskajam filtram jābūt projektētam ar pietiekamu jaudu, lai nākotnē nodrošinātu arī vēl viena identiskas jaudas katla dūmgāzu attīrīšanu. </w:t>
      </w:r>
    </w:p>
    <w:p w14:paraId="65AD8C21" w14:textId="77777777" w:rsidR="003D3D49" w:rsidRDefault="003D3D49">
      <w:pPr>
        <w:jc w:val="both"/>
      </w:pPr>
    </w:p>
    <w:p w14:paraId="4DE5B8E9" w14:textId="77777777" w:rsidR="003D3D49" w:rsidRDefault="006118BF">
      <w:pPr>
        <w:jc w:val="both"/>
      </w:pPr>
      <w:r>
        <w:rPr>
          <w:b/>
          <w:bCs/>
        </w:rPr>
        <w:t xml:space="preserve">6. Jautājums </w:t>
      </w:r>
      <w:r>
        <w:t xml:space="preserve">- </w:t>
      </w:r>
      <w:r>
        <w:rPr>
          <w:i/>
          <w:iCs/>
        </w:rPr>
        <w:t xml:space="preserve">Lūdzam paskaidrot vai internets ir mobile sakaru, jeb ir pieejams optiskais internets? Lūdzam paskaidrot par interneta pieslēgumu vai videokamerām ir apraksta par trim telpām? </w:t>
      </w:r>
    </w:p>
    <w:p w14:paraId="00F3A435" w14:textId="77777777" w:rsidR="003D3D49" w:rsidRDefault="006118BF">
      <w:pPr>
        <w:jc w:val="both"/>
        <w:rPr>
          <w:b/>
          <w:bCs/>
        </w:rPr>
      </w:pPr>
      <w:r>
        <w:rPr>
          <w:b/>
          <w:bCs/>
        </w:rPr>
        <w:lastRenderedPageBreak/>
        <w:tab/>
        <w:t xml:space="preserve">Atbilde: </w:t>
      </w:r>
      <w:r>
        <w:t xml:space="preserve">Izpildītājam ir jānodrošina interneta pieslēgums (t.sk. videokameru darbībai). Īpašas prasības par labu mobilajam vai optiskajam internetam mums nav.  </w:t>
      </w:r>
    </w:p>
    <w:p w14:paraId="1DEF2567" w14:textId="77777777" w:rsidR="003D3D49" w:rsidRDefault="003D3D49">
      <w:pPr>
        <w:jc w:val="both"/>
      </w:pPr>
    </w:p>
    <w:p w14:paraId="7A7A90F8" w14:textId="77777777" w:rsidR="003D3D49" w:rsidRDefault="006118BF">
      <w:pPr>
        <w:jc w:val="both"/>
      </w:pPr>
      <w:r>
        <w:rPr>
          <w:b/>
          <w:bCs/>
        </w:rPr>
        <w:t xml:space="preserve">7. Jautājums </w:t>
      </w:r>
      <w:r>
        <w:t xml:space="preserve">- </w:t>
      </w:r>
      <w:r>
        <w:rPr>
          <w:i/>
          <w:iCs/>
        </w:rPr>
        <w:t xml:space="preserve">Lūdzam paskaidrot, cik ir esošie katli un vai to vadības sistēma var izdot šādu signālu jaunā AVS integrācijā? Automātikai, vērtējot tīkla jaudas pieprasījumu un turpgaitas ūdens temperatūru, jāvērtē darbības režīms, tādējādi automātiskā režīmā ieslēdzot un izslēdzot degšanas procesu kurtuvē. Vērtējot katra katla noslodzi, pazeminoties jaudai zem minimāli pieļaujamās, automātikai jāizslēdz katlu, bet palielinoties – jāieslēdz. Lūdzam paskaidrot šo punktu, kas ar to domāts? Klasiski biomasas katliekārta modulē savu darbību. </w:t>
      </w:r>
    </w:p>
    <w:p w14:paraId="4B187A68" w14:textId="77777777" w:rsidR="003D3D49" w:rsidRDefault="006118BF">
      <w:pPr>
        <w:jc w:val="both"/>
      </w:pPr>
      <w:r>
        <w:rPr>
          <w:b/>
          <w:bCs/>
        </w:rPr>
        <w:tab/>
        <w:t xml:space="preserve">Atbilde: </w:t>
      </w:r>
      <w:r>
        <w:t>Esošie katli ir divi “Komforts” šķeldas katli 2,5MW un 1,0MW. Iekārtas ir tehnoloģiski novecojušas, tādēļ signālu apmaiņa ar jauno AVS var būt apgrūtināta, bet ne neiespējama.</w:t>
      </w:r>
    </w:p>
    <w:p w14:paraId="051CD734" w14:textId="77777777" w:rsidR="003D3D49" w:rsidRDefault="006118BF">
      <w:pPr>
        <w:pStyle w:val="BodyText"/>
        <w:jc w:val="both"/>
      </w:pPr>
      <w:r>
        <w:tab/>
        <w:t>Norādītā prasība attiecas uz katla darbības automātisku regulāciju, nodrošinot tā ieslēgšanu un izslēgšanu atbilstoši sistēmas slodzei un turpgaitas ūdens temperatūrai. Šo funkcionalitāti var nodrošināt arī katla modulācijas režīms vai līdzvērtīgs tehniskais risinājums.</w:t>
      </w:r>
    </w:p>
    <w:p w14:paraId="3E789D30" w14:textId="77777777" w:rsidR="003D3D49" w:rsidRDefault="003D3D49">
      <w:pPr>
        <w:jc w:val="both"/>
      </w:pPr>
    </w:p>
    <w:p w14:paraId="3433163A" w14:textId="77777777" w:rsidR="003D3D49" w:rsidRDefault="003D3D49">
      <w:pPr>
        <w:jc w:val="both"/>
      </w:pPr>
    </w:p>
    <w:p w14:paraId="26E8761B" w14:textId="77777777" w:rsidR="003D3D49" w:rsidRDefault="003D3D49">
      <w:pPr>
        <w:jc w:val="both"/>
      </w:pPr>
    </w:p>
    <w:p w14:paraId="3F07A4C7" w14:textId="77777777" w:rsidR="003D3D49" w:rsidRDefault="003D3D49">
      <w:pPr>
        <w:jc w:val="both"/>
      </w:pPr>
    </w:p>
    <w:p w14:paraId="23493E43" w14:textId="77777777" w:rsidR="003D3D49" w:rsidRDefault="003D3D49">
      <w:pPr>
        <w:jc w:val="both"/>
      </w:pPr>
    </w:p>
    <w:p w14:paraId="4BE64D42" w14:textId="77777777" w:rsidR="003D3D49" w:rsidRDefault="006118BF">
      <w:pPr>
        <w:pStyle w:val="BodyText"/>
        <w:spacing w:after="0"/>
        <w:jc w:val="both"/>
      </w:pPr>
      <w:r>
        <w:rPr>
          <w:rStyle w:val="Emphasis"/>
          <w:i w:val="0"/>
          <w:iCs w:val="0"/>
        </w:rPr>
        <w:t xml:space="preserve">Ar cieņu, </w:t>
      </w:r>
    </w:p>
    <w:p w14:paraId="5D2EAA4D" w14:textId="77777777" w:rsidR="003D3D49" w:rsidRDefault="006118BF">
      <w:pPr>
        <w:pStyle w:val="BodyText"/>
        <w:spacing w:after="0"/>
        <w:jc w:val="both"/>
      </w:pPr>
      <w:r>
        <w:rPr>
          <w:rStyle w:val="Emphasis"/>
          <w:i w:val="0"/>
          <w:iCs w:val="0"/>
        </w:rPr>
        <w:t>SIA “Dobeles enerģija”</w:t>
      </w:r>
    </w:p>
    <w:p w14:paraId="62483731" w14:textId="485E7B03" w:rsidR="003D3D49" w:rsidRDefault="006118BF">
      <w:pPr>
        <w:pStyle w:val="BodyText"/>
        <w:spacing w:after="0"/>
        <w:jc w:val="both"/>
      </w:pPr>
      <w:r>
        <w:rPr>
          <w:rStyle w:val="Emphasis"/>
          <w:i w:val="0"/>
          <w:iCs w:val="0"/>
        </w:rPr>
        <w:t xml:space="preserve">valdes </w:t>
      </w:r>
      <w:r w:rsidR="00B6550D">
        <w:rPr>
          <w:rStyle w:val="Emphasis"/>
          <w:i w:val="0"/>
          <w:iCs w:val="0"/>
        </w:rPr>
        <w:t>loceklis</w:t>
      </w: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t>Ģirts Ozoliņš</w:t>
      </w:r>
    </w:p>
    <w:sectPr w:rsidR="003D3D49">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52E"/>
    <w:multiLevelType w:val="multilevel"/>
    <w:tmpl w:val="51081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C24774"/>
    <w:multiLevelType w:val="multilevel"/>
    <w:tmpl w:val="C8C81AF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839417360">
    <w:abstractNumId w:val="1"/>
  </w:num>
  <w:num w:numId="2" w16cid:durableId="5680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49"/>
    <w:rsid w:val="002A10ED"/>
    <w:rsid w:val="003D3D49"/>
    <w:rsid w:val="006118BF"/>
    <w:rsid w:val="00B6550D"/>
    <w:rsid w:val="00F670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F152AA"/>
  <w15:docId w15:val="{FA264DD4-A6FA-483D-9642-142E75CA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paragraph" w:styleId="Heading1">
    <w:name w:val="heading 1"/>
    <w:basedOn w:val="Normal"/>
    <w:next w:val="Normal"/>
    <w:qFormat/>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user">
    <w:name w:val="Bullets (user)"/>
    <w:qFormat/>
    <w:rPr>
      <w:rFonts w:ascii="OpenSymbol" w:eastAsia="OpenSymbol" w:hAnsi="OpenSymbol" w:cs="OpenSymbol"/>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153"/>
        <w:tab w:val="right" w:pos="8306"/>
      </w:tabs>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davis zitc</cp:lastModifiedBy>
  <cp:revision>3</cp:revision>
  <dcterms:created xsi:type="dcterms:W3CDTF">2026-07-06T09:05:00Z</dcterms:created>
  <dcterms:modified xsi:type="dcterms:W3CDTF">2026-07-06T09:06:00Z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2026-01-12T09:00:05Z</dcterms:created>
  <dc:creator/>
  <dc:description/>
  <dc:language>lv-LV</dc:language>
  <cp:lastModifiedBy/>
  <cp:lastPrinted>2026-01-12T10:03:23Z</cp:lastPrinted>
  <dcterms:modified xsi:type="dcterms:W3CDTF">2026-06-30T14:10:55Z</dcterms:modified>
  <cp:revision>17</cp:revision>
  <dc:subject/>
  <dc:title/>
</cp:coreProperties>
</file>