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67061" w14:textId="77777777" w:rsidR="003D3D49" w:rsidRDefault="006118BF">
      <w:pPr>
        <w:pStyle w:val="Header"/>
        <w:jc w:val="center"/>
        <w:rPr>
          <w:rFonts w:hint="eastAsia"/>
        </w:rPr>
      </w:pPr>
      <w:r>
        <w:rPr>
          <w:noProof/>
          <w:lang w:val="en-US" w:eastAsia="en-US" w:bidi="ar-SA"/>
        </w:rPr>
        <mc:AlternateContent>
          <mc:Choice Requires="wps">
            <w:drawing>
              <wp:anchor distT="0" distB="0" distL="0" distR="0" simplePos="0" relativeHeight="251656704" behindDoc="0" locked="0" layoutInCell="1" allowOverlap="1" wp14:anchorId="077A503C" wp14:editId="7A64C3D1">
                <wp:simplePos x="0" y="0"/>
                <wp:positionH relativeFrom="column">
                  <wp:posOffset>0</wp:posOffset>
                </wp:positionH>
                <wp:positionV relativeFrom="paragraph">
                  <wp:posOffset>635</wp:posOffset>
                </wp:positionV>
                <wp:extent cx="635000" cy="635000"/>
                <wp:effectExtent l="0"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rect id="shape_0" ID="_x0000_tole_rId2" path="m0,0l-2147483645,0l-2147483645,-2147483646l0,-2147483646xe" stroked="f" o:allowincell="f" style="position:absolute;margin-left:0pt;margin-top:0.05pt;width:49.95pt;height:49.95pt;mso-wrap-style:none;v-text-anchor:middle">
                <v:fill o:detectmouseclick="t" on="false"/>
                <v:stroke color="#3465a4" joinstyle="round" endcap="flat"/>
                <w10:wrap type="none"/>
              </v:rect>
            </w:pict>
          </mc:Fallback>
        </mc:AlternateContent>
      </w:r>
      <w:r>
        <w:rPr>
          <w:noProof/>
          <w:lang w:val="en-US" w:eastAsia="en-US" w:bidi="ar-SA"/>
        </w:rPr>
        <mc:AlternateContent>
          <mc:Choice Requires="wps">
            <w:drawing>
              <wp:anchor distT="0" distB="0" distL="0" distR="0" simplePos="0" relativeHeight="251657728" behindDoc="0" locked="0" layoutInCell="1" allowOverlap="1" wp14:anchorId="06B927B5" wp14:editId="08350B1F">
                <wp:simplePos x="0" y="0"/>
                <wp:positionH relativeFrom="column">
                  <wp:posOffset>-40005</wp:posOffset>
                </wp:positionH>
                <wp:positionV relativeFrom="paragraph">
                  <wp:posOffset>-152400</wp:posOffset>
                </wp:positionV>
                <wp:extent cx="980440" cy="796290"/>
                <wp:effectExtent l="0" t="0" r="0" b="0"/>
                <wp:wrapNone/>
                <wp:docPr id="2" name="ole_rId2"/>
                <wp:cNvGraphicFramePr/>
                <a:graphic xmlns:a="http://schemas.openxmlformats.org/drawingml/2006/main">
                  <a:graphicData uri="http://schemas.microsoft.com/office/word/2010/wordprocessingShape">
                    <wps:wsp>
                      <wps:cNvSpPr/>
                      <wps:spPr>
                        <a:xfrm>
                          <a:off x="0" y="0"/>
                          <a:ext cx="980280" cy="79632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rect id="shape_0" ID="ole_rId2" path="m0,0l-2147483645,0l-2147483645,-2147483646l0,-2147483646xe" fillcolor="white" stroked="f" o:allowincell="f" style="position:absolute;margin-left:-3.15pt;margin-top:-12pt;width:77.15pt;height:62.65pt;mso-wrap-style:none;v-text-anchor:middle">
                <v:fill o:detectmouseclick="t" type="solid" color2="black"/>
                <v:stroke color="#3465a4" joinstyle="round" endcap="flat"/>
                <w10:wrap type="none"/>
              </v:rect>
            </w:pict>
          </mc:Fallback>
        </mc:AlternateContent>
      </w:r>
      <w:r w:rsidR="00000000">
        <w:rPr>
          <w:rFonts w:hint="eastAsia"/>
        </w:rPr>
        <w:pict w14:anchorId="75F858DC">
          <v:shapetype id="_x0000_tole_rId2" o:spid="_x0000_m102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sidR="00000000">
        <w:rPr>
          <w:rFonts w:hint="eastAsia"/>
        </w:rPr>
        <w:object w:dxaOrig="1223" w:dyaOrig="1224" w14:anchorId="5375DD64">
          <v:shape id="ole_rId2" o:spid="_x0000_s1026" type="#_x0000_tole_rId2" style="position:absolute;left:0;text-align:left;margin-left:9.2pt;margin-top:3.95pt;width:45pt;height:54pt;z-index:251659776;mso-wrap-distance-right:0;mso-position-horizontal-relative:text;mso-position-vertical-relative:text" o:spt="75" o:preferrelative="t" path="m@4@5l@4@11@9@11@9@5xe" filled="t" fillcolor="whit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o:OLEObject Type="Embed" ProgID="PBrush" ShapeID="ole_rId2" DrawAspect="Content" ObjectID="_1845722583" r:id="rId5"/>
        </w:object>
      </w:r>
      <w:r>
        <w:rPr>
          <w:bCs/>
          <w:spacing w:val="10"/>
          <w:sz w:val="22"/>
          <w:szCs w:val="22"/>
          <w:lang w:val="lv-LV"/>
        </w:rPr>
        <w:t>LATVIJAS REPUBLIKA</w:t>
      </w:r>
    </w:p>
    <w:p w14:paraId="1D420824" w14:textId="77777777" w:rsidR="003D3D49" w:rsidRDefault="006118BF">
      <w:pPr>
        <w:pStyle w:val="Header"/>
        <w:jc w:val="center"/>
        <w:rPr>
          <w:rFonts w:hint="eastAsia"/>
          <w:b/>
          <w:spacing w:val="10"/>
          <w:sz w:val="28"/>
          <w:szCs w:val="22"/>
          <w:lang w:val="lv-LV"/>
        </w:rPr>
      </w:pPr>
      <w:r>
        <w:rPr>
          <w:b/>
          <w:spacing w:val="10"/>
          <w:sz w:val="28"/>
          <w:szCs w:val="22"/>
          <w:lang w:val="lv-LV"/>
        </w:rPr>
        <w:t>SIA „DOBELES ENERĢIJA“</w:t>
      </w:r>
    </w:p>
    <w:p w14:paraId="093F0AD3" w14:textId="77777777" w:rsidR="003D3D49" w:rsidRDefault="006118BF">
      <w:pPr>
        <w:jc w:val="center"/>
        <w:rPr>
          <w:rFonts w:hint="eastAsia"/>
          <w:sz w:val="20"/>
        </w:rPr>
      </w:pPr>
      <w:r>
        <w:rPr>
          <w:sz w:val="20"/>
        </w:rPr>
        <w:t xml:space="preserve">Spodrības iela 4a, Dobele, Dobeles novads, LV-3701, </w:t>
      </w:r>
    </w:p>
    <w:p w14:paraId="528EE78A" w14:textId="77777777" w:rsidR="003D3D49" w:rsidRDefault="006118BF">
      <w:pPr>
        <w:jc w:val="center"/>
        <w:rPr>
          <w:rFonts w:hint="eastAsia"/>
          <w:sz w:val="20"/>
        </w:rPr>
      </w:pPr>
      <w:r>
        <w:rPr>
          <w:sz w:val="20"/>
        </w:rPr>
        <w:t>Vien. Reģ. Nr. 45103002039, PVN LV 45103002039,</w:t>
      </w:r>
    </w:p>
    <w:p w14:paraId="4F557D63" w14:textId="77777777" w:rsidR="003D3D49" w:rsidRDefault="006118BF">
      <w:pPr>
        <w:jc w:val="center"/>
        <w:rPr>
          <w:rFonts w:hint="eastAsia"/>
        </w:rPr>
      </w:pPr>
      <w:r>
        <w:rPr>
          <w:noProof/>
          <w:lang w:val="en-US" w:eastAsia="en-US" w:bidi="ar-SA"/>
        </w:rPr>
        <mc:AlternateContent>
          <mc:Choice Requires="wps">
            <w:drawing>
              <wp:anchor distT="5080" distB="5080" distL="635" distR="0" simplePos="0" relativeHeight="251655680" behindDoc="0" locked="0" layoutInCell="1" allowOverlap="1" wp14:anchorId="6BBB2DB3" wp14:editId="06D52D35">
                <wp:simplePos x="0" y="0"/>
                <wp:positionH relativeFrom="column">
                  <wp:posOffset>-324485</wp:posOffset>
                </wp:positionH>
                <wp:positionV relativeFrom="paragraph">
                  <wp:posOffset>170815</wp:posOffset>
                </wp:positionV>
                <wp:extent cx="6757035" cy="7620"/>
                <wp:effectExtent l="635" t="5080" r="0" b="5080"/>
                <wp:wrapNone/>
                <wp:docPr id="3" name="Image1"/>
                <wp:cNvGraphicFramePr/>
                <a:graphic xmlns:a="http://schemas.openxmlformats.org/drawingml/2006/main">
                  <a:graphicData uri="http://schemas.microsoft.com/office/word/2010/wordprocessingShape">
                    <wps:wsp>
                      <wps:cNvCnPr/>
                      <wps:spPr>
                        <a:xfrm>
                          <a:off x="0" y="0"/>
                          <a:ext cx="6757200" cy="75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25.55pt,13.45pt" to="506.45pt,14pt" ID="Image1" stroked="t" o:allowincell="f" style="position:absolute">
                <v:stroke color="black" weight="9360" joinstyle="miter" endcap="flat"/>
                <v:fill o:detectmouseclick="t" on="false"/>
                <w10:wrap type="none"/>
              </v:line>
            </w:pict>
          </mc:Fallback>
        </mc:AlternateContent>
      </w:r>
      <w:r>
        <w:rPr>
          <w:sz w:val="20"/>
        </w:rPr>
        <w:t xml:space="preserve"> SEB Banka, Bankas kods – UNLALV2X, Norēķinu konta Nr. LV13 UNLA 0006 0002 0620 1,</w:t>
      </w:r>
    </w:p>
    <w:p w14:paraId="1DB81A28" w14:textId="77777777" w:rsidR="003D3D49" w:rsidRDefault="003D3D49">
      <w:pPr>
        <w:pStyle w:val="Heading1"/>
        <w:numPr>
          <w:ilvl w:val="0"/>
          <w:numId w:val="1"/>
        </w:numPr>
        <w:jc w:val="left"/>
        <w:rPr>
          <w:rFonts w:hint="eastAsia"/>
        </w:rPr>
      </w:pPr>
    </w:p>
    <w:tbl>
      <w:tblPr>
        <w:tblW w:w="8522" w:type="dxa"/>
        <w:jc w:val="center"/>
        <w:tblLayout w:type="fixed"/>
        <w:tblLook w:val="0000" w:firstRow="0" w:lastRow="0" w:firstColumn="0" w:lastColumn="0" w:noHBand="0" w:noVBand="0"/>
      </w:tblPr>
      <w:tblGrid>
        <w:gridCol w:w="4262"/>
        <w:gridCol w:w="4260"/>
      </w:tblGrid>
      <w:tr w:rsidR="003D3D49" w14:paraId="134E4B47" w14:textId="77777777">
        <w:trPr>
          <w:jc w:val="center"/>
        </w:trPr>
        <w:tc>
          <w:tcPr>
            <w:tcW w:w="4261" w:type="dxa"/>
          </w:tcPr>
          <w:p w14:paraId="3AD0262E" w14:textId="77777777" w:rsidR="003D3D49" w:rsidRDefault="006118BF">
            <w:pPr>
              <w:pStyle w:val="Header"/>
              <w:widowControl w:val="0"/>
              <w:rPr>
                <w:rFonts w:hint="eastAsia"/>
              </w:rPr>
            </w:pPr>
            <w:r>
              <w:rPr>
                <w:sz w:val="24"/>
                <w:szCs w:val="24"/>
                <w:lang w:val="lv-LV"/>
              </w:rPr>
              <w:t>Dobele</w:t>
            </w:r>
          </w:p>
        </w:tc>
        <w:tc>
          <w:tcPr>
            <w:tcW w:w="4260" w:type="dxa"/>
          </w:tcPr>
          <w:p w14:paraId="5E558EA5" w14:textId="5204A3EE" w:rsidR="003D3D49" w:rsidRDefault="006118BF">
            <w:pPr>
              <w:widowControl w:val="0"/>
              <w:jc w:val="right"/>
              <w:rPr>
                <w:rFonts w:hint="eastAsia"/>
              </w:rPr>
            </w:pPr>
            <w:r>
              <w:t xml:space="preserve"> 2026. gada </w:t>
            </w:r>
            <w:r w:rsidR="00865593">
              <w:t>16.jūlijā</w:t>
            </w:r>
          </w:p>
        </w:tc>
      </w:tr>
    </w:tbl>
    <w:p w14:paraId="45CBF0EC" w14:textId="77777777" w:rsidR="003D3D49" w:rsidRDefault="003D3D49">
      <w:pPr>
        <w:jc w:val="right"/>
        <w:rPr>
          <w:rFonts w:hint="eastAsia"/>
        </w:rPr>
      </w:pPr>
    </w:p>
    <w:p w14:paraId="1376E0D5" w14:textId="0862C9BC" w:rsidR="00865593" w:rsidRDefault="00865593" w:rsidP="00865593">
      <w:pPr>
        <w:jc w:val="right"/>
        <w:rPr>
          <w:rFonts w:ascii="Times New Roman" w:hAnsi="Times New Roman" w:cs="Times New Roman"/>
        </w:rPr>
      </w:pPr>
      <w:r>
        <w:rPr>
          <w:rFonts w:ascii="Times New Roman" w:hAnsi="Times New Roman" w:cs="Times New Roman"/>
          <w:b/>
          <w:bCs/>
        </w:rPr>
        <w:t>Nr. 1/12-6</w:t>
      </w:r>
      <w:r w:rsidR="004D1062">
        <w:rPr>
          <w:rFonts w:ascii="Times New Roman" w:hAnsi="Times New Roman" w:cs="Times New Roman"/>
          <w:b/>
          <w:bCs/>
        </w:rPr>
        <w:t>6</w:t>
      </w:r>
    </w:p>
    <w:p w14:paraId="529BFE7B" w14:textId="77777777" w:rsidR="00865593" w:rsidRDefault="00865593" w:rsidP="00865593">
      <w:pPr>
        <w:jc w:val="right"/>
        <w:rPr>
          <w:rFonts w:ascii="Times New Roman" w:hAnsi="Times New Roman" w:cs="Times New Roman"/>
        </w:rPr>
      </w:pPr>
    </w:p>
    <w:p w14:paraId="3BE65657" w14:textId="77777777" w:rsidR="003D3D49" w:rsidRDefault="003D3D49">
      <w:pPr>
        <w:jc w:val="right"/>
        <w:rPr>
          <w:rFonts w:hint="eastAsia"/>
        </w:rPr>
      </w:pPr>
    </w:p>
    <w:p w14:paraId="4E310AD6" w14:textId="0E418AF9" w:rsidR="003D3D49" w:rsidRDefault="006118BF">
      <w:pPr>
        <w:jc w:val="both"/>
        <w:rPr>
          <w:rFonts w:hint="eastAsia"/>
        </w:rPr>
      </w:pPr>
      <w:r>
        <w:rPr>
          <w:b/>
          <w:bCs/>
        </w:rPr>
        <w:t>Atbildes uz jautājumiem</w:t>
      </w:r>
      <w:r>
        <w:t xml:space="preserve"> </w:t>
      </w:r>
    </w:p>
    <w:p w14:paraId="12C9A07A" w14:textId="77777777" w:rsidR="00865593" w:rsidRDefault="00865593">
      <w:pPr>
        <w:jc w:val="both"/>
        <w:rPr>
          <w:rFonts w:hint="eastAsia"/>
        </w:rPr>
      </w:pPr>
    </w:p>
    <w:p w14:paraId="32C3AF9D" w14:textId="0599248E" w:rsidR="003D3D49" w:rsidRPr="00651C2E" w:rsidRDefault="00865593">
      <w:pPr>
        <w:jc w:val="both"/>
        <w:rPr>
          <w:rFonts w:hint="eastAsia"/>
        </w:rPr>
      </w:pPr>
      <w:r>
        <w:rPr>
          <w:rFonts w:ascii="Times New Roman" w:hAnsi="Times New Roman" w:cs="Times New Roman"/>
          <w:kern w:val="0"/>
        </w:rPr>
        <w:tab/>
      </w:r>
      <w:r w:rsidR="006118BF" w:rsidRPr="00651C2E">
        <w:rPr>
          <w:b/>
          <w:bCs/>
        </w:rPr>
        <w:t>1. Jautājums -</w:t>
      </w:r>
      <w:r w:rsidR="00651C2E">
        <w:rPr>
          <w:b/>
          <w:bCs/>
          <w:i/>
          <w:iCs/>
        </w:rPr>
        <w:t xml:space="preserve"> </w:t>
      </w:r>
      <w:r w:rsidR="004D1062" w:rsidRPr="004D1062">
        <w:rPr>
          <w:i/>
          <w:iCs/>
        </w:rPr>
        <w:t>Lūdzam precizēt un noteikt korektus gadus nolikuma prasībās - 2023., 2024. un 2025. gadu, jo 2026. gadu nevar skaitīt kopējo gadu skaitā, jo gads nav noslēdzies;</w:t>
      </w:r>
    </w:p>
    <w:p w14:paraId="4237AD27" w14:textId="2D6F42D7" w:rsidR="003D3D49" w:rsidRPr="006A7863" w:rsidRDefault="006118BF" w:rsidP="00E72423">
      <w:pPr>
        <w:pStyle w:val="isselectedend"/>
        <w:jc w:val="both"/>
        <w:rPr>
          <w:lang w:val="lv-LV"/>
        </w:rPr>
      </w:pPr>
      <w:r w:rsidRPr="006A7863">
        <w:rPr>
          <w:lang w:val="lv-LV"/>
        </w:rPr>
        <w:tab/>
      </w:r>
      <w:proofErr w:type="spellStart"/>
      <w:r w:rsidRPr="00651C2E">
        <w:rPr>
          <w:b/>
          <w:bCs/>
        </w:rPr>
        <w:t>Atbilde</w:t>
      </w:r>
      <w:proofErr w:type="spellEnd"/>
      <w:r w:rsidRPr="00651C2E">
        <w:rPr>
          <w:b/>
          <w:bCs/>
        </w:rPr>
        <w:t xml:space="preserve">: </w:t>
      </w:r>
      <w:r w:rsidR="00E72423" w:rsidRPr="00E72423">
        <w:rPr>
          <w:rFonts w:ascii="Liberation Serif" w:eastAsia="NSimSun" w:hAnsi="Liberation Serif" w:cs="Arial"/>
          <w:kern w:val="2"/>
          <w:lang w:val="lv-LV" w:eastAsia="zh-CN" w:bidi="hi-IN"/>
        </w:rPr>
        <w:t xml:space="preserve">Pasūtītājs skaidro, ka, ņemot vērā iepirkuma procedūras stadiju un atlikušo laiku līdz piedāvājumu iesniegšanas termiņam, iepirkuma nolikums netiks </w:t>
      </w:r>
      <w:r w:rsidR="002615C4" w:rsidRPr="00E72423">
        <w:rPr>
          <w:rFonts w:ascii="Liberation Serif" w:eastAsia="NSimSun" w:hAnsi="Liberation Serif" w:cs="Arial"/>
          <w:kern w:val="2"/>
          <w:lang w:val="lv-LV" w:eastAsia="zh-CN" w:bidi="hi-IN"/>
        </w:rPr>
        <w:t>grozīts. Vienlaikus</w:t>
      </w:r>
      <w:r w:rsidR="00E72423" w:rsidRPr="00E72423">
        <w:rPr>
          <w:rFonts w:ascii="Liberation Serif" w:eastAsia="NSimSun" w:hAnsi="Liberation Serif" w:cs="Arial"/>
          <w:kern w:val="2"/>
          <w:lang w:val="lv-LV" w:eastAsia="zh-CN" w:bidi="hi-IN"/>
        </w:rPr>
        <w:t xml:space="preserve"> Pasūtītājs precizē, ka, izvērtējot Pretendentu atbilstību nolikuma prasībām attiecībā uz pieredzi, tiks ņemta vērā arī pieredze, kas iegūta 2023. gada otrajā pusgadā. Attiecīgi par atbilstošu tiks uzskatīta pieredze, kas iegūta laikposmā no 2023. gada 1. jūlija līdz piedāvājuma iesniegšanas dienai, ievērojot pārējās iepirkuma dokumentācijā noteiktās prasības.</w:t>
      </w:r>
    </w:p>
    <w:p w14:paraId="6CFA7A5F" w14:textId="58854253" w:rsidR="003D3D49" w:rsidRPr="00D322DA" w:rsidRDefault="006118BF">
      <w:pPr>
        <w:jc w:val="both"/>
        <w:rPr>
          <w:rFonts w:hint="eastAsia"/>
          <w:i/>
          <w:iCs/>
        </w:rPr>
      </w:pPr>
      <w:r w:rsidRPr="00D322DA">
        <w:rPr>
          <w:b/>
          <w:bCs/>
        </w:rPr>
        <w:t>2. Jautājums</w:t>
      </w:r>
      <w:r w:rsidRPr="00D322DA">
        <w:t xml:space="preserve"> - </w:t>
      </w:r>
      <w:r w:rsidR="00E72423" w:rsidRPr="00E72423">
        <w:rPr>
          <w:i/>
          <w:iCs/>
        </w:rPr>
        <w:t>Lūdzam precizēt, kas tās par tāmēm minētas nolikuma 3.pielikumā. Lūdzam izsniegt tāmju formas;</w:t>
      </w:r>
    </w:p>
    <w:p w14:paraId="7E9A57B7" w14:textId="400F07FF" w:rsidR="003D3D49" w:rsidRPr="00E72423" w:rsidRDefault="006118BF" w:rsidP="00D322DA">
      <w:pPr>
        <w:jc w:val="both"/>
        <w:rPr>
          <w:rFonts w:hint="eastAsia"/>
        </w:rPr>
      </w:pPr>
      <w:r w:rsidRPr="00D322DA">
        <w:tab/>
      </w:r>
      <w:r w:rsidRPr="00D322DA">
        <w:rPr>
          <w:b/>
          <w:bCs/>
        </w:rPr>
        <w:t>Atbilde:</w:t>
      </w:r>
      <w:r w:rsidRPr="00D322DA">
        <w:t xml:space="preserve"> </w:t>
      </w:r>
      <w:r w:rsidR="002615C4">
        <w:t xml:space="preserve">Pasūtītājs skaidro, ka iepirkuma dokumentācijā noteiktā prasība par </w:t>
      </w:r>
      <w:proofErr w:type="spellStart"/>
      <w:r w:rsidR="002615C4">
        <w:t>lokāltāmes</w:t>
      </w:r>
      <w:proofErr w:type="spellEnd"/>
      <w:r w:rsidR="002615C4">
        <w:t xml:space="preserve"> iesniegšanu netiek grozīta.</w:t>
      </w:r>
      <w:r w:rsidR="002615C4">
        <w:rPr>
          <w:b/>
          <w:bCs/>
        </w:rPr>
        <w:t xml:space="preserve"> </w:t>
      </w:r>
      <w:r w:rsidR="002615C4">
        <w:t xml:space="preserve">Iesniedzamajā </w:t>
      </w:r>
      <w:proofErr w:type="spellStart"/>
      <w:r w:rsidR="002615C4">
        <w:t>lokāltāmē</w:t>
      </w:r>
      <w:proofErr w:type="spellEnd"/>
      <w:r w:rsidR="002615C4">
        <w:t xml:space="preserve"> nav nepieciešams detalizēti un izvērsti </w:t>
      </w:r>
      <w:proofErr w:type="spellStart"/>
      <w:r w:rsidR="002615C4">
        <w:t>iztāmēt</w:t>
      </w:r>
      <w:proofErr w:type="spellEnd"/>
      <w:r w:rsidR="002615C4">
        <w:t xml:space="preserve"> visas </w:t>
      </w:r>
      <w:r w:rsidR="002615C4" w:rsidRPr="002C72D7">
        <w:t>izmaksu</w:t>
      </w:r>
      <w:r w:rsidR="002615C4">
        <w:t xml:space="preserve"> pozīcijas, kas būtu iespējamas tikai pēc būvprojekta izstrādes. </w:t>
      </w:r>
      <w:proofErr w:type="spellStart"/>
      <w:r w:rsidR="002615C4">
        <w:t>Lokāltāmē</w:t>
      </w:r>
      <w:proofErr w:type="spellEnd"/>
      <w:r w:rsidR="002615C4">
        <w:t xml:space="preserve"> pietiek norādīt galvenās darbu un iekārtu, iekārtu mezglu pozīcijas un to plānotās izmaksas. </w:t>
      </w:r>
      <w:r w:rsidR="002615C4" w:rsidRPr="009E1CA6">
        <w:t xml:space="preserve">Pasūtītājs vienlaikus skaidro, ka </w:t>
      </w:r>
      <w:proofErr w:type="spellStart"/>
      <w:r w:rsidR="002615C4" w:rsidRPr="009E1CA6">
        <w:t>lokāltāme</w:t>
      </w:r>
      <w:proofErr w:type="spellEnd"/>
      <w:r w:rsidR="002615C4" w:rsidRPr="009E1CA6">
        <w:t xml:space="preserve"> tiek pieprasīta informatīviem mērķiem</w:t>
      </w:r>
      <w:r w:rsidR="002615C4">
        <w:t xml:space="preserve">, </w:t>
      </w:r>
      <w:r w:rsidR="002615C4" w:rsidRPr="002C72D7">
        <w:t xml:space="preserve">lai gūtu pārliecību vai piedāvājumā iekļauti visi iepirkumā paredzētie apjomi. </w:t>
      </w:r>
      <w:proofErr w:type="spellStart"/>
      <w:r w:rsidR="002615C4" w:rsidRPr="002C72D7">
        <w:t>Lokāltāmes</w:t>
      </w:r>
      <w:proofErr w:type="spellEnd"/>
      <w:r w:rsidR="002615C4" w:rsidRPr="009E1CA6">
        <w:t xml:space="preserve"> forma nav stingri noteikta, un Pretendents to var sagatavot pēc saviem ieskatiem</w:t>
      </w:r>
      <w:r w:rsidR="002615C4">
        <w:t xml:space="preserve">. </w:t>
      </w:r>
      <w:proofErr w:type="spellStart"/>
      <w:r w:rsidR="002615C4">
        <w:t>Lokāltāmes</w:t>
      </w:r>
      <w:proofErr w:type="spellEnd"/>
      <w:r w:rsidR="002615C4">
        <w:t xml:space="preserve"> kopējai summai ir jāsakrīt ar finanšu piedāvājuma kopējo</w:t>
      </w:r>
      <w:r w:rsidR="002615C4" w:rsidRPr="009E1CA6">
        <w:t xml:space="preserve"> cen</w:t>
      </w:r>
      <w:r w:rsidR="002615C4">
        <w:t>u</w:t>
      </w:r>
      <w:r w:rsidR="002615C4" w:rsidRPr="009E1CA6">
        <w:t>.</w:t>
      </w:r>
    </w:p>
    <w:p w14:paraId="73C5D3D7" w14:textId="77777777" w:rsidR="00E72423" w:rsidRPr="006A7863" w:rsidRDefault="00E72423" w:rsidP="00E72423">
      <w:pPr>
        <w:pStyle w:val="v1msolistparagraph"/>
        <w:shd w:val="clear" w:color="auto" w:fill="FFFFFF"/>
        <w:spacing w:before="0" w:beforeAutospacing="0" w:after="0" w:afterAutospacing="0"/>
        <w:ind w:left="720"/>
        <w:rPr>
          <w:b/>
          <w:bCs/>
          <w:lang w:val="lv-LV"/>
        </w:rPr>
      </w:pPr>
    </w:p>
    <w:p w14:paraId="43BE65CB" w14:textId="3AB6040A" w:rsidR="00E72423" w:rsidRPr="00E72423" w:rsidRDefault="006118BF" w:rsidP="00E72423">
      <w:pPr>
        <w:jc w:val="both"/>
        <w:rPr>
          <w:rFonts w:hint="eastAsia"/>
          <w:b/>
          <w:bCs/>
        </w:rPr>
      </w:pPr>
      <w:r w:rsidRPr="00E72423">
        <w:rPr>
          <w:b/>
          <w:bCs/>
        </w:rPr>
        <w:t xml:space="preserve">3. Jautājums </w:t>
      </w:r>
      <w:r w:rsidRPr="002D273B">
        <w:rPr>
          <w:b/>
          <w:bCs/>
        </w:rPr>
        <w:t xml:space="preserve">- </w:t>
      </w:r>
      <w:r w:rsidR="00E72423" w:rsidRPr="00E72423">
        <w:rPr>
          <w:i/>
          <w:iCs/>
        </w:rPr>
        <w:t>Lūdzam precizēt, kā pretendentam apliecināt garantijas laiku iekārtām;</w:t>
      </w:r>
    </w:p>
    <w:p w14:paraId="3892D590" w14:textId="7A53E772" w:rsidR="003D3D49" w:rsidRPr="00865593" w:rsidRDefault="003D3D49" w:rsidP="002D273B">
      <w:pPr>
        <w:jc w:val="both"/>
        <w:rPr>
          <w:rFonts w:hint="eastAsia"/>
          <w:i/>
          <w:iCs/>
          <w:highlight w:val="yellow"/>
        </w:rPr>
      </w:pPr>
    </w:p>
    <w:p w14:paraId="60D65657" w14:textId="68B6D246" w:rsidR="003D3D49" w:rsidRDefault="006118BF" w:rsidP="002D273B">
      <w:pPr>
        <w:jc w:val="both"/>
        <w:rPr>
          <w:rFonts w:hint="eastAsia"/>
        </w:rPr>
      </w:pPr>
      <w:r w:rsidRPr="002D273B">
        <w:tab/>
      </w:r>
      <w:r w:rsidRPr="002D273B">
        <w:rPr>
          <w:b/>
          <w:bCs/>
        </w:rPr>
        <w:t xml:space="preserve">Atbilde: </w:t>
      </w:r>
      <w:r w:rsidR="00F20803">
        <w:t>Pretendentam iekārtu garantijas laiks ir jāapliecina, iesniedzot iekārtu ražotāja rakstisku apliecinājumu vai citu ražotāja izdotu tehnisko dokumentāciju (piemēram, tehnisko specifikāciju, datu lapu vai katalogu), kurā ir skaidri norādīts attiecīgās iekārtas garantijas termiņš.</w:t>
      </w:r>
    </w:p>
    <w:p w14:paraId="19BB44BD" w14:textId="77777777" w:rsidR="003D3D49" w:rsidRPr="00865593" w:rsidRDefault="003D3D49">
      <w:pPr>
        <w:pStyle w:val="BodyText"/>
        <w:spacing w:after="26"/>
        <w:jc w:val="both"/>
        <w:rPr>
          <w:rFonts w:hint="eastAsia"/>
          <w:highlight w:val="yellow"/>
        </w:rPr>
      </w:pPr>
    </w:p>
    <w:p w14:paraId="4048C72C" w14:textId="4A12EC3D" w:rsidR="003D3D49" w:rsidRPr="00DF12C8" w:rsidRDefault="006118BF">
      <w:pPr>
        <w:jc w:val="both"/>
        <w:rPr>
          <w:rFonts w:hint="eastAsia"/>
          <w:highlight w:val="yellow"/>
        </w:rPr>
      </w:pPr>
      <w:r w:rsidRPr="00F20803">
        <w:rPr>
          <w:b/>
          <w:bCs/>
        </w:rPr>
        <w:t xml:space="preserve">4. Jautājums </w:t>
      </w:r>
      <w:r w:rsidRPr="00F20803">
        <w:t>-</w:t>
      </w:r>
      <w:r w:rsidRPr="00F20803">
        <w:rPr>
          <w:i/>
          <w:iCs/>
        </w:rPr>
        <w:t xml:space="preserve"> </w:t>
      </w:r>
      <w:r w:rsidR="00F20803" w:rsidRPr="00F20803">
        <w:rPr>
          <w:i/>
          <w:iCs/>
        </w:rPr>
        <w:t>Lūdzam precizēt informāciju par Līguma izpildes nodrošinājumu, konkursa nolikums nesatur tādu informāciju, kaut gan tas tiek pieminēts nolikuma 1.7. punktā pie piedāvājuma nodrošinājuma un nolikuma 10.pielikuma c) apakšpunktā.</w:t>
      </w:r>
    </w:p>
    <w:p w14:paraId="430DCBE2" w14:textId="724A665F" w:rsidR="003D3D49" w:rsidRPr="00F20803" w:rsidRDefault="006118BF">
      <w:pPr>
        <w:jc w:val="both"/>
        <w:rPr>
          <w:rFonts w:hint="eastAsia"/>
        </w:rPr>
      </w:pPr>
      <w:r w:rsidRPr="00F20803">
        <w:rPr>
          <w:b/>
          <w:bCs/>
        </w:rPr>
        <w:tab/>
        <w:t xml:space="preserve">Atbilde: </w:t>
      </w:r>
      <w:r w:rsidR="00F20803" w:rsidRPr="00F20803">
        <w:t xml:space="preserve">Līguma slēgšanas gadījumā nepieciešama bankas apdrošināšanas garantija par Līguma izpildes </w:t>
      </w:r>
      <w:r w:rsidR="00F20803" w:rsidRPr="006A7863">
        <w:t>nodrošinājuma termiņa ievērošanu.</w:t>
      </w:r>
      <w:r w:rsidR="00F20803" w:rsidRPr="00F20803">
        <w:t xml:space="preserve"> </w:t>
      </w:r>
      <w:r w:rsidR="00F20803">
        <w:t>Vienlaikus p</w:t>
      </w:r>
      <w:r w:rsidR="00F20803" w:rsidRPr="00F20803">
        <w:t>asūtītājs paskaidro, ka iepirkuma nolikumā noteiktais piedāvājuma nodrošinājuma derīguma termiņš</w:t>
      </w:r>
      <w:r w:rsidR="00F20803">
        <w:t xml:space="preserve"> (</w:t>
      </w:r>
      <w:r w:rsidR="00AC0887">
        <w:t>60 dienas</w:t>
      </w:r>
      <w:r w:rsidR="00F20803">
        <w:t>)</w:t>
      </w:r>
      <w:r w:rsidR="00F20803" w:rsidRPr="00F20803">
        <w:t xml:space="preserve"> neietekmē iepirkuma līguma noslēgšanas termiņu. Piedāvājuma nodrošinājums nosaka minimālo periodu, kurā Pretendenta piedāvājums ir saistošs, un tas neierobežo Pasūtītāja tiesības noslēgt līgumu agrāk. Pasūtītājs ir ieinteresēts iepirkuma līgumu noslēgt iespējami īsākā termiņā pēc iepirkuma procedūras pabeigšanas un lēmuma pieņemšanas. Atbilstoši Nolikuma 15.4. punktam Pretendentam, kuram piešķirtas līguma slēgšanas tiesības, iepirkuma līgums jāparaksta ne vēlāk kā 10 (desmit) darbdienu laikā pēc Pasūtītāja uzaicinājuma to parakstīt. Vienlaikus Pasūtītājs nevar iepriekš noteikt precīzu līguma noslēgšanas </w:t>
      </w:r>
      <w:r w:rsidR="00F20803" w:rsidRPr="00F20803">
        <w:lastRenderedPageBreak/>
        <w:t>datumu, jo tas ir atkarīgs no iepirkuma procedūras norises- piedāvājumu izvērtēšanas un ja nepieciešams informācijas precizēšanas.</w:t>
      </w:r>
    </w:p>
    <w:p w14:paraId="03538255" w14:textId="77777777" w:rsidR="003D3D49" w:rsidRPr="00865593" w:rsidRDefault="003D3D49">
      <w:pPr>
        <w:jc w:val="both"/>
        <w:rPr>
          <w:rFonts w:hint="eastAsia"/>
          <w:b/>
          <w:bCs/>
          <w:highlight w:val="yellow"/>
        </w:rPr>
      </w:pPr>
    </w:p>
    <w:p w14:paraId="5E69C5B9" w14:textId="2ADA72D7" w:rsidR="00155F3A" w:rsidRPr="00155F3A" w:rsidRDefault="006118BF" w:rsidP="00155F3A">
      <w:pPr>
        <w:spacing w:line="276" w:lineRule="auto"/>
        <w:ind w:left="720"/>
        <w:jc w:val="both"/>
        <w:rPr>
          <w:rFonts w:hint="eastAsia"/>
          <w:i/>
          <w:iCs/>
        </w:rPr>
      </w:pPr>
      <w:r w:rsidRPr="008A7F2E">
        <w:rPr>
          <w:b/>
          <w:bCs/>
        </w:rPr>
        <w:t xml:space="preserve">5. Jautājums </w:t>
      </w:r>
      <w:r w:rsidR="00155F3A">
        <w:t>–</w:t>
      </w:r>
      <w:r w:rsidR="009C5534">
        <w:rPr>
          <w:i/>
          <w:iCs/>
        </w:rPr>
        <w:t xml:space="preserve"> </w:t>
      </w:r>
      <w:r w:rsidR="00155F3A">
        <w:rPr>
          <w:i/>
          <w:iCs/>
        </w:rPr>
        <w:t>Lūdzam</w:t>
      </w:r>
      <w:r w:rsidR="00155F3A" w:rsidRPr="00155F3A">
        <w:rPr>
          <w:i/>
          <w:iCs/>
        </w:rPr>
        <w:t xml:space="preserve"> papildināt līguma projektu, paredzot:</w:t>
      </w:r>
    </w:p>
    <w:p w14:paraId="1AD32BD7" w14:textId="77777777" w:rsidR="00155F3A" w:rsidRPr="00155F3A" w:rsidRDefault="00155F3A" w:rsidP="00155F3A">
      <w:pPr>
        <w:pStyle w:val="ListParagraph"/>
        <w:numPr>
          <w:ilvl w:val="0"/>
          <w:numId w:val="4"/>
        </w:numPr>
        <w:spacing w:after="100" w:afterAutospacing="1" w:line="276" w:lineRule="auto"/>
        <w:contextualSpacing/>
        <w:jc w:val="both"/>
        <w:rPr>
          <w:rFonts w:ascii="Liberation Serif" w:eastAsia="NSimSun" w:hAnsi="Liberation Serif" w:cs="Arial" w:hint="eastAsia"/>
          <w:i/>
          <w:iCs/>
          <w:kern w:val="2"/>
          <w:sz w:val="24"/>
          <w:szCs w:val="24"/>
          <w:lang w:eastAsia="zh-CN" w:bidi="hi-IN"/>
        </w:rPr>
      </w:pPr>
      <w:r w:rsidRPr="00155F3A">
        <w:rPr>
          <w:rFonts w:ascii="Liberation Serif" w:eastAsia="NSimSun" w:hAnsi="Liberation Serif" w:cs="Arial"/>
          <w:i/>
          <w:iCs/>
          <w:kern w:val="2"/>
          <w:sz w:val="24"/>
          <w:szCs w:val="24"/>
          <w:lang w:eastAsia="zh-CN" w:bidi="hi-IN"/>
        </w:rPr>
        <w:t xml:space="preserve">projektēšanas darbu izpildes posmus; </w:t>
      </w:r>
    </w:p>
    <w:p w14:paraId="3245A495" w14:textId="77777777" w:rsidR="00155F3A" w:rsidRPr="00155F3A" w:rsidRDefault="00155F3A" w:rsidP="00155F3A">
      <w:pPr>
        <w:numPr>
          <w:ilvl w:val="0"/>
          <w:numId w:val="4"/>
        </w:numPr>
        <w:suppressAutoHyphens w:val="0"/>
        <w:overflowPunct/>
        <w:spacing w:before="100" w:beforeAutospacing="1" w:after="100" w:afterAutospacing="1" w:line="276" w:lineRule="auto"/>
        <w:jc w:val="both"/>
        <w:rPr>
          <w:rFonts w:hint="eastAsia"/>
          <w:i/>
          <w:iCs/>
        </w:rPr>
      </w:pPr>
      <w:r w:rsidRPr="00155F3A">
        <w:rPr>
          <w:i/>
          <w:iCs/>
        </w:rPr>
        <w:t xml:space="preserve">projektēšanas dokumentācijas nodošanas un pieņemšanas kārtību; </w:t>
      </w:r>
    </w:p>
    <w:p w14:paraId="34C7BAED" w14:textId="77777777" w:rsidR="00155F3A" w:rsidRPr="00155F3A" w:rsidRDefault="00155F3A" w:rsidP="00155F3A">
      <w:pPr>
        <w:numPr>
          <w:ilvl w:val="0"/>
          <w:numId w:val="4"/>
        </w:numPr>
        <w:suppressAutoHyphens w:val="0"/>
        <w:overflowPunct/>
        <w:spacing w:before="100" w:beforeAutospacing="1" w:after="100" w:afterAutospacing="1" w:line="276" w:lineRule="auto"/>
        <w:jc w:val="both"/>
        <w:rPr>
          <w:rFonts w:hint="eastAsia"/>
          <w:i/>
          <w:iCs/>
        </w:rPr>
      </w:pPr>
      <w:r w:rsidRPr="00155F3A">
        <w:rPr>
          <w:i/>
          <w:iCs/>
        </w:rPr>
        <w:t xml:space="preserve">Pasūtītāja pienākumu noteiktā termiņā izvērtēt un akceptēt iesniegto dokumentāciju vai sniegt motivētus iebildumus; </w:t>
      </w:r>
    </w:p>
    <w:p w14:paraId="6D5AE4EB" w14:textId="77777777" w:rsidR="00155F3A" w:rsidRPr="00155F3A" w:rsidRDefault="00155F3A" w:rsidP="00155F3A">
      <w:pPr>
        <w:numPr>
          <w:ilvl w:val="0"/>
          <w:numId w:val="4"/>
        </w:numPr>
        <w:suppressAutoHyphens w:val="0"/>
        <w:overflowPunct/>
        <w:spacing w:before="100" w:beforeAutospacing="1" w:after="100" w:afterAutospacing="1" w:line="276" w:lineRule="auto"/>
        <w:jc w:val="both"/>
        <w:rPr>
          <w:rFonts w:hint="eastAsia"/>
          <w:i/>
          <w:iCs/>
        </w:rPr>
      </w:pPr>
      <w:r w:rsidRPr="00155F3A">
        <w:rPr>
          <w:i/>
          <w:iCs/>
        </w:rPr>
        <w:t xml:space="preserve">projektēšanas darbu apmaksas kārtību; </w:t>
      </w:r>
    </w:p>
    <w:p w14:paraId="530D0EDF" w14:textId="77777777" w:rsidR="00155F3A" w:rsidRPr="00155F3A" w:rsidRDefault="00155F3A" w:rsidP="00155F3A">
      <w:pPr>
        <w:numPr>
          <w:ilvl w:val="0"/>
          <w:numId w:val="4"/>
        </w:numPr>
        <w:suppressAutoHyphens w:val="0"/>
        <w:overflowPunct/>
        <w:spacing w:before="100" w:beforeAutospacing="1" w:after="100" w:afterAutospacing="1" w:line="276" w:lineRule="auto"/>
        <w:jc w:val="both"/>
        <w:rPr>
          <w:rFonts w:hint="eastAsia"/>
          <w:i/>
          <w:iCs/>
        </w:rPr>
      </w:pPr>
      <w:r w:rsidRPr="00155F3A">
        <w:rPr>
          <w:i/>
          <w:iCs/>
        </w:rPr>
        <w:t xml:space="preserve">projektēšanas izmaiņu saskaņošanas un apmaksas mehānismu; </w:t>
      </w:r>
    </w:p>
    <w:p w14:paraId="7DCABC7A" w14:textId="3F05EC13" w:rsidR="003D3D49" w:rsidRDefault="00155F3A" w:rsidP="00155F3A">
      <w:pPr>
        <w:numPr>
          <w:ilvl w:val="0"/>
          <w:numId w:val="4"/>
        </w:numPr>
        <w:suppressAutoHyphens w:val="0"/>
        <w:overflowPunct/>
        <w:spacing w:before="100" w:beforeAutospacing="1" w:after="100" w:afterAutospacing="1" w:line="276" w:lineRule="auto"/>
        <w:jc w:val="both"/>
        <w:rPr>
          <w:rFonts w:hint="eastAsia"/>
          <w:i/>
          <w:iCs/>
        </w:rPr>
      </w:pPr>
      <w:r w:rsidRPr="00155F3A">
        <w:rPr>
          <w:i/>
          <w:iCs/>
        </w:rPr>
        <w:t>autoruzraudzības pienākumu un atbildības robežas.</w:t>
      </w:r>
    </w:p>
    <w:p w14:paraId="47308F58" w14:textId="686F43EF" w:rsidR="00155F3A" w:rsidRDefault="00155F3A" w:rsidP="00155F3A">
      <w:pPr>
        <w:suppressAutoHyphens w:val="0"/>
        <w:overflowPunct/>
        <w:spacing w:before="100" w:beforeAutospacing="1" w:after="100" w:afterAutospacing="1" w:line="276" w:lineRule="auto"/>
        <w:ind w:left="720"/>
        <w:jc w:val="both"/>
        <w:rPr>
          <w:rFonts w:hint="eastAsia"/>
          <w:i/>
          <w:iCs/>
        </w:rPr>
      </w:pPr>
      <w:r w:rsidRPr="00155F3A">
        <w:rPr>
          <w:i/>
          <w:iCs/>
        </w:rPr>
        <w:t>Pretendents lūdz papildināt Līguma projektu, paredzot skaidru un objektīvu līgumcenas pārskatīšanas mehānismu gadījumos, kad līguma izpildes laikā notiek būtiskas un objektīvi pierādāmas izmaksu izmaiņas, kuras nav atkarīgas no Izpildītāja darbības, nosakot arī pārskatīšanas kritērijus, aprēķina metodiku un piemērošanas kārtību.</w:t>
      </w:r>
    </w:p>
    <w:p w14:paraId="74886844" w14:textId="77777777" w:rsidR="00155F3A" w:rsidRDefault="00155F3A" w:rsidP="00155F3A">
      <w:pPr>
        <w:suppressAutoHyphens w:val="0"/>
        <w:overflowPunct/>
        <w:spacing w:before="100" w:beforeAutospacing="1" w:after="100" w:afterAutospacing="1" w:line="276" w:lineRule="auto"/>
        <w:ind w:left="720"/>
        <w:jc w:val="both"/>
        <w:rPr>
          <w:rFonts w:hint="eastAsia"/>
          <w:i/>
          <w:iCs/>
        </w:rPr>
      </w:pPr>
      <w:r w:rsidRPr="00155F3A">
        <w:rPr>
          <w:i/>
          <w:iCs/>
        </w:rPr>
        <w:t xml:space="preserve">Pretendents lūdz papildināt Līguma projektu, paredzot skaidru izmaiņu procedūru, papildus nosakot Pasūtītāja tiesības ierosināt izmaiņas un Izpildītāja pienākumu izvērtēt to ietekmi uz izmaksām un termiņu, kā arī noteikt cenu noteikšanas metodiku. Noteikt kārtību, kādā izmaiņas tiek </w:t>
      </w:r>
      <w:proofErr w:type="spellStart"/>
      <w:r w:rsidRPr="00155F3A">
        <w:rPr>
          <w:i/>
          <w:iCs/>
        </w:rPr>
        <w:t>rakstveidā</w:t>
      </w:r>
      <w:proofErr w:type="spellEnd"/>
      <w:r w:rsidRPr="00155F3A">
        <w:rPr>
          <w:i/>
          <w:iCs/>
        </w:rPr>
        <w:t xml:space="preserve"> apstiprinātas pirms to izpildes.</w:t>
      </w:r>
    </w:p>
    <w:p w14:paraId="6D65175A" w14:textId="77777777" w:rsidR="00155F3A" w:rsidRDefault="00155F3A" w:rsidP="00155F3A">
      <w:pPr>
        <w:suppressAutoHyphens w:val="0"/>
        <w:overflowPunct/>
        <w:spacing w:before="100" w:beforeAutospacing="1" w:after="100" w:afterAutospacing="1" w:line="276" w:lineRule="auto"/>
        <w:ind w:left="720"/>
        <w:jc w:val="both"/>
        <w:rPr>
          <w:rFonts w:hint="eastAsia"/>
          <w:i/>
          <w:iCs/>
        </w:rPr>
      </w:pPr>
      <w:r w:rsidRPr="00155F3A">
        <w:rPr>
          <w:i/>
          <w:iCs/>
        </w:rPr>
        <w:t>Papildus Pretendents norāda, ka šāda veida līgumos projektēšanas gaitā var rasties nepieciešamība precizēt tehniskos risinājumus. Ja līgumā nav paredzēta izmaiņu vadības procedūra – Izpildītājam ir pienākums izstrādāt projektu, taču nav līgumiski noteikta kārtība, kādā tiek risinātas projektēšanas gaitā objektīvi nepieciešamās izmaiņas. Tas rada augstu strīdu risku gan projektēšanas, gan būvdarbu izpildes stadijā. Izmaiņu procedūras paredzēšana ir vispārpieņemta starptautiskā būvniecības līgumu praksē (FIDIC līgumi), jo projektēšanas un būvdarbu izpildes laikā objektīvi var rasties nepieciešamība precizēt tehniskos risinājumus.</w:t>
      </w:r>
    </w:p>
    <w:p w14:paraId="4017C7A5" w14:textId="77777777" w:rsidR="00155F3A" w:rsidRDefault="00155F3A" w:rsidP="00155F3A">
      <w:pPr>
        <w:suppressAutoHyphens w:val="0"/>
        <w:overflowPunct/>
        <w:spacing w:before="100" w:beforeAutospacing="1" w:after="100" w:afterAutospacing="1" w:line="276" w:lineRule="auto"/>
        <w:ind w:left="720"/>
        <w:jc w:val="both"/>
        <w:rPr>
          <w:rFonts w:hint="eastAsia"/>
          <w:i/>
          <w:iCs/>
        </w:rPr>
      </w:pPr>
      <w:r w:rsidRPr="00155F3A">
        <w:rPr>
          <w:i/>
          <w:iCs/>
        </w:rPr>
        <w:t>Pretendents lūdz pārskatīt Līguma projekta 1.3., 2.4., 2.5. un 2.18. punktu redakciju, precizējot, ka Izpildītājs ir atbildīgs par tādu darbu un izmaksu paredzēšanu, kuras, ievērojot profesionālu rūpību un iepirkuma dokumentācijā sniegto informāciju, objektīvi bija iespējams identificēt piedāvājuma sagatavošanas laikā, savukārt Pasūtītāja sagatavotās iepirkuma dokumentācijas nepilnību, pretrunu vai neparedzamu papildu darbu risks nevar tikt pilnībā pārlikts uz Izpildītāju. Minētie noteikumi faktiski paredz Izpildītāja atteikšanos no tiesībām atsaukties uz iepirkuma dokumentācijas nepilnībām arī tad, ja tās objektīvi nebija iespējams konstatēt piedāvājuma sagatavošanas laikā.</w:t>
      </w:r>
    </w:p>
    <w:p w14:paraId="0B6416CF" w14:textId="116DE5DB" w:rsidR="00155F3A" w:rsidRDefault="00155F3A" w:rsidP="00155F3A">
      <w:pPr>
        <w:suppressAutoHyphens w:val="0"/>
        <w:overflowPunct/>
        <w:spacing w:before="100" w:beforeAutospacing="1" w:after="100" w:afterAutospacing="1" w:line="276" w:lineRule="auto"/>
        <w:ind w:left="720"/>
        <w:jc w:val="both"/>
        <w:rPr>
          <w:rFonts w:hint="eastAsia"/>
          <w:i/>
          <w:iCs/>
        </w:rPr>
      </w:pPr>
      <w:r w:rsidRPr="00155F3A">
        <w:rPr>
          <w:i/>
          <w:iCs/>
        </w:rPr>
        <w:t>Pretendents nevar uzņemties atbildību par tādiem darbiem vai tehniskajiem risinājumiem, kuri iepirkuma dokumentācijā nav pietiekami identificējami vai kuru nepieciešamība objektīvi atklājas tikai projektēšanas vai būvdarbu izpildes laikā. Pretējā gadījumā Izpildītājam tiek uzlikts pienākums uzņemties arī Pasūtītāja sagatavotās iepirkuma dokumentācijas pilnīguma risku, kas neatbilst samērīgas risku sadales principam.</w:t>
      </w:r>
    </w:p>
    <w:p w14:paraId="6231533F" w14:textId="25D9F6B3" w:rsidR="00155F3A" w:rsidRDefault="00155F3A" w:rsidP="00155F3A">
      <w:pPr>
        <w:suppressAutoHyphens w:val="0"/>
        <w:overflowPunct/>
        <w:spacing w:before="100" w:beforeAutospacing="1" w:after="100" w:afterAutospacing="1" w:line="276" w:lineRule="auto"/>
        <w:ind w:left="720"/>
        <w:jc w:val="both"/>
        <w:rPr>
          <w:rFonts w:hint="eastAsia"/>
          <w:i/>
          <w:iCs/>
        </w:rPr>
      </w:pPr>
      <w:r w:rsidRPr="00155F3A">
        <w:rPr>
          <w:i/>
          <w:iCs/>
        </w:rPr>
        <w:t>Pretendents lūdz pārskatīt Līguma projekta 8.4. un 8.5. punktu redakciju, paredzot samērīgu un līdzvērtīgu līgumsodu regulējumu abām pusēm.</w:t>
      </w:r>
    </w:p>
    <w:p w14:paraId="0838FFD3" w14:textId="32033208" w:rsidR="00155F3A" w:rsidRDefault="00155F3A" w:rsidP="00155F3A">
      <w:pPr>
        <w:suppressAutoHyphens w:val="0"/>
        <w:overflowPunct/>
        <w:spacing w:before="100" w:beforeAutospacing="1" w:after="100" w:afterAutospacing="1" w:line="276" w:lineRule="auto"/>
        <w:ind w:left="720"/>
        <w:jc w:val="both"/>
        <w:rPr>
          <w:rFonts w:hint="eastAsia"/>
          <w:i/>
          <w:iCs/>
        </w:rPr>
      </w:pPr>
      <w:r w:rsidRPr="00155F3A">
        <w:rPr>
          <w:i/>
          <w:iCs/>
        </w:rPr>
        <w:lastRenderedPageBreak/>
        <w:t>Pretendents lūdz pārskatīt Līguma projekta 9.1.2. apakšpunktu un noteikt līguma saistību izpildes nodrošinājumu ne lielāku par 10 % no līgumcenas, kas atbilst Ministru kabineta noteikumu Nr. 419 29. punktā paredzētajai publisko būvdarbu līgumu praksei.</w:t>
      </w:r>
    </w:p>
    <w:p w14:paraId="6EAB09B6" w14:textId="77777777" w:rsidR="004200AE" w:rsidRDefault="00155F3A" w:rsidP="004200AE">
      <w:pPr>
        <w:suppressAutoHyphens w:val="0"/>
        <w:overflowPunct/>
        <w:spacing w:before="100" w:beforeAutospacing="1" w:after="100" w:afterAutospacing="1" w:line="276" w:lineRule="auto"/>
        <w:ind w:left="720"/>
        <w:jc w:val="both"/>
        <w:rPr>
          <w:rFonts w:hint="eastAsia"/>
          <w:i/>
          <w:iCs/>
        </w:rPr>
      </w:pPr>
      <w:r w:rsidRPr="00155F3A">
        <w:rPr>
          <w:i/>
          <w:iCs/>
        </w:rPr>
        <w:t>Pretendents lūdz papildināt Līguma projektu, nosakot konkrētus termiņus, kādos Pasūtītājam ir pienākums izvērtēt Izpildītāja iesniegtos dokumentus, sniegt motivētus iebildumus, pieņemt lēmumus un atbildēt uz Izpildītāja iesniegumiem, vienlaikus paredzot, ka Pasūtītāja kavējuma gadījumā attiecīgi tiek pagarināts Līguma izpildes termiņš par laiku, kurā Izpildītājs objektīvi nevarēja turpināt darbu Pasūtītāja lēmuma neesamības dēļ.</w:t>
      </w:r>
    </w:p>
    <w:p w14:paraId="58D23C0C" w14:textId="77777777" w:rsidR="004200AE" w:rsidRDefault="006118BF" w:rsidP="004200AE">
      <w:pPr>
        <w:suppressAutoHyphens w:val="0"/>
        <w:overflowPunct/>
        <w:spacing w:before="100" w:beforeAutospacing="1" w:after="100" w:afterAutospacing="1" w:line="276" w:lineRule="auto"/>
        <w:ind w:left="720"/>
        <w:jc w:val="both"/>
        <w:rPr>
          <w:rFonts w:hint="eastAsia"/>
        </w:rPr>
      </w:pPr>
      <w:r w:rsidRPr="00840C59">
        <w:rPr>
          <w:b/>
          <w:bCs/>
        </w:rPr>
        <w:t xml:space="preserve">Atbilde: </w:t>
      </w:r>
      <w:r w:rsidR="004200AE" w:rsidRPr="004200AE">
        <w:t>Pasūtītājs ir izvērtējis Pretendenta priekšlikumus par Līguma projekta papildināšanu un grozīšanu. Ņemot vērā iepirkuma procedūras stadiju un atlikušo laiku līdz piedāvājumu iesniegšanas termiņam, Pasūtītājs Līguma projektu negrozīs.</w:t>
      </w:r>
    </w:p>
    <w:p w14:paraId="474A2E36" w14:textId="77777777" w:rsidR="004200AE" w:rsidRDefault="004200AE" w:rsidP="004200AE">
      <w:pPr>
        <w:suppressAutoHyphens w:val="0"/>
        <w:overflowPunct/>
        <w:spacing w:before="100" w:beforeAutospacing="1" w:after="100" w:afterAutospacing="1" w:line="276" w:lineRule="auto"/>
        <w:ind w:left="720"/>
        <w:jc w:val="both"/>
        <w:rPr>
          <w:rFonts w:hint="eastAsia"/>
        </w:rPr>
      </w:pPr>
      <w:r>
        <w:t>Pasūtītājs uzskata, ka Līguma projektā ietvertie nosacījumi ir pietiekami iepirkuma priekšmeta izpildei un nodrošina pušu tiesību un pienākumu regulējumu.</w:t>
      </w:r>
    </w:p>
    <w:p w14:paraId="285AE8D2" w14:textId="44D8DBFC" w:rsidR="00095FA3" w:rsidRPr="004200AE" w:rsidRDefault="004200AE" w:rsidP="004200AE">
      <w:pPr>
        <w:suppressAutoHyphens w:val="0"/>
        <w:overflowPunct/>
        <w:spacing w:before="100" w:beforeAutospacing="1" w:after="100" w:afterAutospacing="1" w:line="276" w:lineRule="auto"/>
        <w:ind w:left="720"/>
        <w:jc w:val="both"/>
        <w:rPr>
          <w:rFonts w:hint="eastAsia"/>
        </w:rPr>
      </w:pPr>
      <w:r>
        <w:t>Vienlaikus Pasūtītājs norāda, ka pirms līguma noslēgšanas, pusēm savstarpēji vienojoties, var tikt precizēti atsevišķi līguma tehniska vai redakcionāla rakstura nosacījumi, ciktāl šādi precizējumi nemaina iepirkuma dokumentācijā noteiktos būtiskos līguma noteikumus, neietekmē iepirkuma rezultātu un atbilst Sabiedrisko pakalpojumu sniedzēju iepirkumu likuma prasībām.</w:t>
      </w:r>
    </w:p>
    <w:p w14:paraId="3F07A4C7" w14:textId="5D0AAD52" w:rsidR="003D3D49" w:rsidRDefault="003D3D49" w:rsidP="009E1CA6">
      <w:pPr>
        <w:jc w:val="both"/>
        <w:rPr>
          <w:rFonts w:hint="eastAsia"/>
        </w:rPr>
      </w:pPr>
    </w:p>
    <w:p w14:paraId="23493E43" w14:textId="77777777" w:rsidR="003D3D49" w:rsidRDefault="003D3D49">
      <w:pPr>
        <w:jc w:val="both"/>
        <w:rPr>
          <w:rFonts w:hint="eastAsia"/>
        </w:rPr>
      </w:pPr>
    </w:p>
    <w:p w14:paraId="4BE64D42" w14:textId="77777777" w:rsidR="003D3D49" w:rsidRDefault="006118BF">
      <w:pPr>
        <w:pStyle w:val="BodyText"/>
        <w:spacing w:after="0"/>
        <w:jc w:val="both"/>
        <w:rPr>
          <w:rFonts w:hint="eastAsia"/>
        </w:rPr>
      </w:pPr>
      <w:r>
        <w:rPr>
          <w:rStyle w:val="Emphasis"/>
          <w:i w:val="0"/>
          <w:iCs w:val="0"/>
        </w:rPr>
        <w:t xml:space="preserve">Ar cieņu, </w:t>
      </w:r>
    </w:p>
    <w:p w14:paraId="5D2EAA4D" w14:textId="77777777" w:rsidR="003D3D49" w:rsidRDefault="006118BF">
      <w:pPr>
        <w:pStyle w:val="BodyText"/>
        <w:spacing w:after="0"/>
        <w:jc w:val="both"/>
        <w:rPr>
          <w:rFonts w:hint="eastAsia"/>
        </w:rPr>
      </w:pPr>
      <w:r>
        <w:rPr>
          <w:rStyle w:val="Emphasis"/>
          <w:i w:val="0"/>
          <w:iCs w:val="0"/>
        </w:rPr>
        <w:t>SIA “Dobeles enerģija”</w:t>
      </w:r>
    </w:p>
    <w:p w14:paraId="62483731" w14:textId="485E7B03" w:rsidR="003D3D49" w:rsidRDefault="006118BF">
      <w:pPr>
        <w:pStyle w:val="BodyText"/>
        <w:spacing w:after="0"/>
        <w:jc w:val="both"/>
        <w:rPr>
          <w:rFonts w:hint="eastAsia"/>
        </w:rPr>
      </w:pPr>
      <w:r>
        <w:rPr>
          <w:rStyle w:val="Emphasis"/>
          <w:i w:val="0"/>
          <w:iCs w:val="0"/>
        </w:rPr>
        <w:t xml:space="preserve">valdes </w:t>
      </w:r>
      <w:r w:rsidR="00B6550D">
        <w:rPr>
          <w:rStyle w:val="Emphasis"/>
          <w:i w:val="0"/>
          <w:iCs w:val="0"/>
        </w:rPr>
        <w:t>loceklis</w:t>
      </w:r>
      <w:r>
        <w:rPr>
          <w:rStyle w:val="Emphasis"/>
          <w:i w:val="0"/>
          <w:iCs w:val="0"/>
        </w:rPr>
        <w:tab/>
      </w:r>
      <w:r>
        <w:rPr>
          <w:rStyle w:val="Emphasis"/>
          <w:i w:val="0"/>
          <w:iCs w:val="0"/>
        </w:rPr>
        <w:tab/>
      </w:r>
      <w:r>
        <w:rPr>
          <w:rStyle w:val="Emphasis"/>
          <w:i w:val="0"/>
          <w:iCs w:val="0"/>
        </w:rPr>
        <w:tab/>
      </w:r>
      <w:r>
        <w:rPr>
          <w:rStyle w:val="Emphasis"/>
          <w:i w:val="0"/>
          <w:iCs w:val="0"/>
        </w:rPr>
        <w:tab/>
      </w:r>
      <w:r>
        <w:rPr>
          <w:rStyle w:val="Emphasis"/>
          <w:i w:val="0"/>
          <w:iCs w:val="0"/>
        </w:rPr>
        <w:tab/>
      </w:r>
      <w:r>
        <w:rPr>
          <w:rStyle w:val="Emphasis"/>
          <w:i w:val="0"/>
          <w:iCs w:val="0"/>
        </w:rPr>
        <w:tab/>
      </w:r>
      <w:r>
        <w:rPr>
          <w:rStyle w:val="Emphasis"/>
          <w:i w:val="0"/>
          <w:iCs w:val="0"/>
        </w:rPr>
        <w:tab/>
        <w:t>Ģirts Ozoliņš</w:t>
      </w:r>
    </w:p>
    <w:sectPr w:rsidR="003D3D49">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BA"/>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penSymbol">
    <w:altName w:val="Segoe UI Symbol"/>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A38"/>
    <w:multiLevelType w:val="multilevel"/>
    <w:tmpl w:val="E2A42896"/>
    <w:lvl w:ilvl="0">
      <w:start w:val="1"/>
      <w:numFmt w:val="decimal"/>
      <w:lvlText w:val="%1."/>
      <w:lvlJc w:val="left"/>
      <w:pPr>
        <w:tabs>
          <w:tab w:val="num" w:pos="720"/>
        </w:tabs>
        <w:ind w:left="720" w:hanging="360"/>
      </w:pPr>
      <w:rPr>
        <w:rFonts w:ascii="Verdana" w:eastAsia="Times New Roman" w:hAnsi="Verdana"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2152E"/>
    <w:multiLevelType w:val="multilevel"/>
    <w:tmpl w:val="510817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7C24774"/>
    <w:multiLevelType w:val="multilevel"/>
    <w:tmpl w:val="C8C81AF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 w15:restartNumberingAfterBreak="0">
    <w:nsid w:val="431D6861"/>
    <w:multiLevelType w:val="multilevel"/>
    <w:tmpl w:val="28DAA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1155422">
    <w:abstractNumId w:val="2"/>
  </w:num>
  <w:num w:numId="2" w16cid:durableId="1467549164">
    <w:abstractNumId w:val="1"/>
  </w:num>
  <w:num w:numId="3" w16cid:durableId="1187407174">
    <w:abstractNumId w:val="3"/>
  </w:num>
  <w:num w:numId="4" w16cid:durableId="315770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D49"/>
    <w:rsid w:val="00047B0C"/>
    <w:rsid w:val="00095FA3"/>
    <w:rsid w:val="000D2C88"/>
    <w:rsid w:val="00155AF5"/>
    <w:rsid w:val="00155F3A"/>
    <w:rsid w:val="00167B6E"/>
    <w:rsid w:val="001C12A6"/>
    <w:rsid w:val="00202BB5"/>
    <w:rsid w:val="002615C4"/>
    <w:rsid w:val="002A10ED"/>
    <w:rsid w:val="002D273B"/>
    <w:rsid w:val="002D6373"/>
    <w:rsid w:val="002F4318"/>
    <w:rsid w:val="00327567"/>
    <w:rsid w:val="003348AA"/>
    <w:rsid w:val="003D3D49"/>
    <w:rsid w:val="004200AE"/>
    <w:rsid w:val="004C61B5"/>
    <w:rsid w:val="004D1062"/>
    <w:rsid w:val="0055455F"/>
    <w:rsid w:val="005C5B5E"/>
    <w:rsid w:val="006118BF"/>
    <w:rsid w:val="00615F5E"/>
    <w:rsid w:val="00633AC3"/>
    <w:rsid w:val="00643F00"/>
    <w:rsid w:val="00651C2E"/>
    <w:rsid w:val="00665A78"/>
    <w:rsid w:val="006A7863"/>
    <w:rsid w:val="006B5DCC"/>
    <w:rsid w:val="00726031"/>
    <w:rsid w:val="007350E7"/>
    <w:rsid w:val="00840C59"/>
    <w:rsid w:val="00865593"/>
    <w:rsid w:val="008A7F2E"/>
    <w:rsid w:val="009C5534"/>
    <w:rsid w:val="009E1CA6"/>
    <w:rsid w:val="00A2024C"/>
    <w:rsid w:val="00AC0887"/>
    <w:rsid w:val="00B6550D"/>
    <w:rsid w:val="00C13508"/>
    <w:rsid w:val="00CC6339"/>
    <w:rsid w:val="00D322DA"/>
    <w:rsid w:val="00D340D6"/>
    <w:rsid w:val="00D419FF"/>
    <w:rsid w:val="00DE2BFD"/>
    <w:rsid w:val="00DE56A4"/>
    <w:rsid w:val="00DF12C8"/>
    <w:rsid w:val="00E402D2"/>
    <w:rsid w:val="00E72423"/>
    <w:rsid w:val="00E81A6D"/>
    <w:rsid w:val="00F02883"/>
    <w:rsid w:val="00F10C35"/>
    <w:rsid w:val="00F20803"/>
    <w:rsid w:val="00F670E1"/>
    <w:rsid w:val="00FF26C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7F152AA"/>
  <w15:docId w15:val="{FA264DD4-A6FA-483D-9642-142E75CA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style>
  <w:style w:type="paragraph" w:styleId="Heading1">
    <w:name w:val="heading 1"/>
    <w:basedOn w:val="Normal"/>
    <w:next w:val="Normal"/>
    <w:qFormat/>
    <w:pPr>
      <w:keepNext/>
      <w:jc w:val="center"/>
      <w:outlineLvl w:val="0"/>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user">
    <w:name w:val="Bullets (user)"/>
    <w:qFormat/>
    <w:rPr>
      <w:rFonts w:ascii="OpenSymbol" w:eastAsia="OpenSymbol" w:hAnsi="OpenSymbol" w:cs="OpenSymbol"/>
    </w:rPr>
  </w:style>
  <w:style w:type="character" w:styleId="Emphasis">
    <w:name w:val="Emphasis"/>
    <w:qFormat/>
    <w:rPr>
      <w:i/>
      <w:iCs/>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widowControl w:val="0"/>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153"/>
        <w:tab w:val="right" w:pos="8306"/>
      </w:tabs>
    </w:pPr>
    <w:rPr>
      <w:sz w:val="20"/>
      <w:szCs w:val="20"/>
      <w:lang w:val="en-AU"/>
    </w:rPr>
  </w:style>
  <w:style w:type="paragraph" w:customStyle="1" w:styleId="isselectedend">
    <w:name w:val="isselectedend"/>
    <w:basedOn w:val="Normal"/>
    <w:rsid w:val="00633AC3"/>
    <w:pPr>
      <w:suppressAutoHyphens w:val="0"/>
      <w:overflowPunct/>
      <w:spacing w:before="100" w:beforeAutospacing="1" w:after="100" w:afterAutospacing="1"/>
    </w:pPr>
    <w:rPr>
      <w:rFonts w:ascii="Times New Roman" w:eastAsia="Times New Roman" w:hAnsi="Times New Roman" w:cs="Times New Roman"/>
      <w:kern w:val="0"/>
      <w:lang w:val="en-GB" w:eastAsia="en-GB" w:bidi="ar-SA"/>
    </w:rPr>
  </w:style>
  <w:style w:type="paragraph" w:styleId="NormalWeb">
    <w:name w:val="Normal (Web)"/>
    <w:basedOn w:val="Normal"/>
    <w:uiPriority w:val="99"/>
    <w:unhideWhenUsed/>
    <w:rsid w:val="00633AC3"/>
    <w:pPr>
      <w:suppressAutoHyphens w:val="0"/>
      <w:overflowPunct/>
      <w:spacing w:before="100" w:beforeAutospacing="1" w:after="100" w:afterAutospacing="1"/>
    </w:pPr>
    <w:rPr>
      <w:rFonts w:ascii="Times New Roman" w:eastAsia="Times New Roman" w:hAnsi="Times New Roman" w:cs="Times New Roman"/>
      <w:kern w:val="0"/>
      <w:lang w:val="en-GB" w:eastAsia="en-GB" w:bidi="ar-SA"/>
    </w:rPr>
  </w:style>
  <w:style w:type="paragraph" w:styleId="ListParagraph">
    <w:name w:val="List Paragraph"/>
    <w:aliases w:val="2,ADB paragraph numbering,Akapit z listą BS,Bullet list,Bullets1,Colorful List - Accent 12,H&amp;P List Paragraph,List1,Normal bullet 2,Numurets,Saistīto dokumentu saraksts,Strip,Syle 1,Virsraksti,PPS_Bullet,Table of contents numbered,Text"/>
    <w:basedOn w:val="Normal"/>
    <w:link w:val="ListParagraphChar"/>
    <w:uiPriority w:val="34"/>
    <w:qFormat/>
    <w:rsid w:val="00327567"/>
    <w:pPr>
      <w:suppressAutoHyphens w:val="0"/>
      <w:overflowPunct/>
      <w:ind w:left="720"/>
    </w:pPr>
    <w:rPr>
      <w:rFonts w:ascii="Calibri" w:eastAsiaTheme="minorHAnsi" w:hAnsi="Calibri" w:cs="Calibri"/>
      <w:kern w:val="0"/>
      <w:sz w:val="22"/>
      <w:szCs w:val="22"/>
      <w:lang w:eastAsia="en-US" w:bidi="ar-SA"/>
    </w:rPr>
  </w:style>
  <w:style w:type="paragraph" w:customStyle="1" w:styleId="v1msolistparagraph">
    <w:name w:val="v1msolistparagraph"/>
    <w:basedOn w:val="Normal"/>
    <w:rsid w:val="00E72423"/>
    <w:pPr>
      <w:suppressAutoHyphens w:val="0"/>
      <w:overflowPunct/>
      <w:spacing w:before="100" w:beforeAutospacing="1" w:after="100" w:afterAutospacing="1"/>
    </w:pPr>
    <w:rPr>
      <w:rFonts w:ascii="Times New Roman" w:eastAsia="Times New Roman" w:hAnsi="Times New Roman" w:cs="Times New Roman"/>
      <w:kern w:val="0"/>
      <w:lang w:val="en-GB" w:eastAsia="en-GB" w:bidi="ar-SA"/>
    </w:rPr>
  </w:style>
  <w:style w:type="character" w:customStyle="1" w:styleId="ListParagraphChar">
    <w:name w:val="List Paragraph Char"/>
    <w:aliases w:val="2 Char,ADB paragraph numbering Char,Akapit z listą BS Char,Bullet list Char,Bullets1 Char,Colorful List - Accent 12 Char,H&amp;P List Paragraph Char,List1 Char,Normal bullet 2 Char,Numurets Char,Saistīto dokumentu saraksts Char,Text Char"/>
    <w:link w:val="ListParagraph"/>
    <w:uiPriority w:val="34"/>
    <w:qFormat/>
    <w:rsid w:val="00155F3A"/>
    <w:rPr>
      <w:rFonts w:ascii="Calibri" w:eastAsiaTheme="minorHAnsi" w:hAnsi="Calibri" w:cs="Calibri"/>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1185</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davis zitc</cp:lastModifiedBy>
  <cp:revision>5</cp:revision>
  <dcterms:created xsi:type="dcterms:W3CDTF">2026-07-16T12:26:00Z</dcterms:created>
  <dcterms:modified xsi:type="dcterms:W3CDTF">2026-07-16T12:57:00Z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2026-01-12T09:00:05Z</dcterms:created>
  <dc:creator/>
  <dc:description/>
  <dc:language>lv-LV</dc:language>
  <cp:lastModifiedBy/>
  <cp:lastPrinted>2026-01-12T10:03:23Z</cp:lastPrinted>
  <dcterms:modified xsi:type="dcterms:W3CDTF">2026-06-30T14:10:55Z</dcterms:modified>
  <cp:revision>17</cp:revision>
  <dc:subject/>
  <dc:title/>
</cp:coreProperties>
</file>