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right"/>
        <w:rPr>
          <w:b w:val="false"/>
          <w:bCs w:val="false"/>
          <w:sz w:val="24"/>
          <w:szCs w:val="24"/>
          <w:u w:val="none"/>
        </w:rPr>
      </w:pPr>
      <w:r>
        <w:rPr>
          <w:b w:val="false"/>
          <w:bCs w:val="false"/>
          <w:sz w:val="24"/>
          <w:szCs w:val="24"/>
          <w:u w:val="none"/>
        </w:rPr>
        <w:t>Informācija atjaunota 2026.gada 25.jūlijā</w:t>
      </w:r>
    </w:p>
    <w:p>
      <w:pPr>
        <w:pStyle w:val="Normal"/>
        <w:bidi w:val="0"/>
        <w:jc w:val="right"/>
        <w:rPr>
          <w:b/>
          <w:bCs/>
          <w:sz w:val="32"/>
          <w:szCs w:val="32"/>
          <w:u w:val="none"/>
        </w:rPr>
      </w:pPr>
      <w:r>
        <w:rPr>
          <w:b/>
          <w:bCs/>
          <w:sz w:val="32"/>
          <w:szCs w:val="32"/>
          <w:u w:val="none"/>
        </w:rPr>
      </w:r>
    </w:p>
    <w:p>
      <w:pPr>
        <w:pStyle w:val="Normal"/>
        <w:bidi w:val="0"/>
        <w:jc w:val="center"/>
        <w:rPr>
          <w:b/>
          <w:bCs/>
          <w:sz w:val="32"/>
          <w:szCs w:val="32"/>
          <w:u w:val="none"/>
        </w:rPr>
      </w:pPr>
      <w:r>
        <w:rPr>
          <w:b/>
          <w:bCs/>
          <w:sz w:val="32"/>
          <w:szCs w:val="32"/>
          <w:u w:val="none"/>
        </w:rPr>
        <w:t>Atalgojuma politikas principi</w:t>
      </w:r>
    </w:p>
    <w:p>
      <w:pPr>
        <w:pStyle w:val="Normal"/>
        <w:bidi w:val="0"/>
        <w:jc w:val="center"/>
        <w:rPr>
          <w:b/>
          <w:bCs/>
          <w:sz w:val="32"/>
          <w:szCs w:val="32"/>
          <w:u w:val="none"/>
        </w:rPr>
      </w:pPr>
      <w:r>
        <w:rPr>
          <w:b/>
          <w:bCs/>
          <w:sz w:val="32"/>
          <w:szCs w:val="32"/>
          <w:u w:val="none"/>
        </w:rPr>
        <w:t xml:space="preserve">SIA “Dobeles enerģija” </w:t>
      </w:r>
    </w:p>
    <w:p>
      <w:pPr>
        <w:pStyle w:val="Normal"/>
        <w:bidi w:val="0"/>
        <w:jc w:val="center"/>
        <w:rPr>
          <w:b/>
          <w:bCs/>
          <w:sz w:val="32"/>
          <w:szCs w:val="32"/>
          <w:u w:val="none"/>
        </w:rPr>
      </w:pPr>
      <w:r>
        <w:rPr>
          <w:b/>
          <w:bCs/>
          <w:sz w:val="32"/>
          <w:szCs w:val="32"/>
          <w:u w:val="none"/>
        </w:rPr>
      </w:r>
    </w:p>
    <w:p>
      <w:pPr>
        <w:pStyle w:val="Normal"/>
        <w:bidi w:val="0"/>
        <w:jc w:val="center"/>
        <w:rPr>
          <w:b/>
          <w:bCs/>
          <w:sz w:val="32"/>
          <w:szCs w:val="32"/>
          <w:u w:val="none"/>
        </w:rPr>
      </w:pPr>
      <w:r>
        <w:rPr>
          <w:b/>
          <w:bCs/>
          <w:sz w:val="32"/>
          <w:szCs w:val="32"/>
          <w:u w:val="none"/>
        </w:rPr>
      </w:r>
    </w:p>
    <w:p>
      <w:pPr>
        <w:pStyle w:val="Normal"/>
        <w:bidi w:val="0"/>
        <w:spacing w:lineRule="auto" w:line="276"/>
        <w:jc w:val="both"/>
        <w:rPr>
          <w:b w:val="false"/>
          <w:bCs w:val="false"/>
          <w:sz w:val="24"/>
          <w:szCs w:val="24"/>
          <w:u w:val="none"/>
        </w:rPr>
      </w:pPr>
      <w:r>
        <w:rPr>
          <w:b w:val="false"/>
          <w:bCs w:val="false"/>
          <w:sz w:val="24"/>
          <w:szCs w:val="24"/>
          <w:u w:val="none"/>
        </w:rPr>
        <w:tab/>
        <w:t xml:space="preserve">Atalgojuma politikas mērķis ir noteikt SIA “Dobeles enerģija” darbinieku atalgojuma pamatprincipus. Galvenais uzņēmuma atalgojuma pamatprincips – saglabāt, piesaistīt, motivēt un attīstīt profesionālus darbiniekus, veicinot uzņēmuma noteiktās darbības mērķus un uzdevuma izpildi. Atalgojuma politika ir saistoša visiem SIA “Dobeles enerģija” darbiniekiem. </w:t>
      </w:r>
    </w:p>
    <w:p>
      <w:pPr>
        <w:pStyle w:val="Normal"/>
        <w:bidi w:val="0"/>
        <w:spacing w:lineRule="auto" w:line="276"/>
        <w:jc w:val="both"/>
        <w:rPr>
          <w:b w:val="false"/>
          <w:bCs w:val="false"/>
          <w:sz w:val="24"/>
          <w:szCs w:val="24"/>
          <w:u w:val="none"/>
        </w:rPr>
      </w:pPr>
      <w:r>
        <w:rPr>
          <w:b w:val="false"/>
          <w:bCs w:val="false"/>
          <w:sz w:val="24"/>
          <w:szCs w:val="24"/>
          <w:u w:val="none"/>
        </w:rPr>
        <w:tab/>
        <w:t>Darba atalgojumu veido darba samaksa, sociālās garantija un atvaļinājumi. Darba samaksa atbilstoši Darba likumam ir pamatalga, mainīgā alga, piemaksas un prēmijas. Sociālās garantijas atbilstoši Darba likumam veido pabalsti, kompensācijas, apdrošināšana un citi Darba likumā un iekšējās kārtībās noteiktie izdevumi par amata (darba) pienākumu pildīšanu.</w:t>
      </w:r>
    </w:p>
    <w:p>
      <w:pPr>
        <w:pStyle w:val="Normal"/>
        <w:bidi w:val="0"/>
        <w:spacing w:lineRule="auto" w:line="276"/>
        <w:jc w:val="both"/>
        <w:rPr>
          <w:b w:val="false"/>
          <w:bCs w:val="false"/>
          <w:sz w:val="24"/>
          <w:szCs w:val="24"/>
          <w:u w:val="none"/>
        </w:rPr>
      </w:pPr>
      <w:r>
        <w:rPr>
          <w:b w:val="false"/>
          <w:bCs w:val="false"/>
          <w:sz w:val="24"/>
          <w:szCs w:val="24"/>
          <w:u w:val="none"/>
        </w:rPr>
        <w:tab/>
        <w:t>Darba samaksu darbiniekam aprēķina atbilstoši pamatalgas likmēm saskaņā ar štatu sarakstu, bet piemaksas apmēru, saskaņā ar Darba likuma 65., 66., 67. un 68. pantu, darbiniekiem nosaka darba līgums.</w:t>
      </w:r>
    </w:p>
    <w:p>
      <w:pPr>
        <w:pStyle w:val="Normal"/>
        <w:bidi w:val="0"/>
        <w:jc w:val="both"/>
        <w:rPr>
          <w:b w:val="false"/>
          <w:bCs w:val="false"/>
          <w:sz w:val="24"/>
          <w:szCs w:val="24"/>
          <w:u w:val="none"/>
        </w:rPr>
      </w:pPr>
      <w:r>
        <w:rPr>
          <w:b w:val="false"/>
          <w:bCs w:val="false"/>
          <w:sz w:val="24"/>
          <w:szCs w:val="24"/>
          <w:u w:val="none"/>
        </w:rPr>
      </w:r>
    </w:p>
    <w:p>
      <w:pPr>
        <w:pStyle w:val="Normal"/>
        <w:bidi w:val="0"/>
        <w:jc w:val="both"/>
        <w:rPr>
          <w:b w:val="false"/>
          <w:bCs w:val="false"/>
          <w:sz w:val="24"/>
          <w:szCs w:val="24"/>
          <w:u w:val="none"/>
        </w:rPr>
      </w:pPr>
      <w:r>
        <w:rPr>
          <w:b w:val="false"/>
          <w:bCs w:val="false"/>
          <w:sz w:val="24"/>
          <w:szCs w:val="24"/>
          <w:u w:val="none"/>
        </w:rPr>
        <w:tab/>
        <w:t>Darbinieku amatus uzņēmumā klasificē atbilstoši sekojošām amatu grupām:</w:t>
      </w:r>
    </w:p>
    <w:p>
      <w:pPr>
        <w:pStyle w:val="Normal"/>
        <w:bidi w:val="0"/>
        <w:jc w:val="both"/>
        <w:rPr>
          <w:b w:val="false"/>
          <w:bCs w:val="false"/>
          <w:sz w:val="24"/>
          <w:szCs w:val="24"/>
          <w:u w:val="none"/>
        </w:rPr>
      </w:pPr>
      <w:r>
        <w:rPr>
          <w:b w:val="false"/>
          <w:bCs w:val="false"/>
          <w:sz w:val="24"/>
          <w:szCs w:val="24"/>
          <w:u w:val="none"/>
        </w:rPr>
      </w:r>
    </w:p>
    <w:tbl>
      <w:tblPr>
        <w:tblW w:w="9645" w:type="dxa"/>
        <w:jc w:val="left"/>
        <w:tblInd w:w="0" w:type="dxa"/>
        <w:tblLayout w:type="fixed"/>
        <w:tblCellMar>
          <w:top w:w="55" w:type="dxa"/>
          <w:left w:w="55" w:type="dxa"/>
          <w:bottom w:w="55" w:type="dxa"/>
          <w:right w:w="55" w:type="dxa"/>
        </w:tblCellMar>
      </w:tblPr>
      <w:tblGrid>
        <w:gridCol w:w="3771"/>
        <w:gridCol w:w="3591"/>
        <w:gridCol w:w="2283"/>
      </w:tblGrid>
      <w:tr>
        <w:trPr/>
        <w:tc>
          <w:tcPr>
            <w:tcW w:w="3771" w:type="dxa"/>
            <w:tcBorders>
              <w:top w:val="single" w:sz="2" w:space="0" w:color="000000"/>
              <w:left w:val="single" w:sz="2" w:space="0" w:color="000000"/>
              <w:bottom w:val="single" w:sz="2" w:space="0" w:color="000000"/>
            </w:tcBorders>
            <w:shd w:fill="auto" w:val="clear"/>
            <w:vAlign w:val="center"/>
          </w:tcPr>
          <w:p>
            <w:pPr>
              <w:pStyle w:val="TableContents"/>
              <w:widowControl w:val="false"/>
              <w:bidi w:val="0"/>
              <w:jc w:val="center"/>
              <w:rPr>
                <w:b/>
                <w:bCs/>
                <w:sz w:val="24"/>
                <w:szCs w:val="24"/>
              </w:rPr>
            </w:pPr>
            <w:r>
              <w:rPr>
                <w:b/>
                <w:bCs/>
                <w:sz w:val="24"/>
                <w:szCs w:val="24"/>
              </w:rPr>
              <w:t>Amatu grupa</w:t>
            </w:r>
          </w:p>
        </w:tc>
        <w:tc>
          <w:tcPr>
            <w:tcW w:w="3591" w:type="dxa"/>
            <w:tcBorders>
              <w:top w:val="single" w:sz="2" w:space="0" w:color="000000"/>
              <w:left w:val="single" w:sz="2" w:space="0" w:color="000000"/>
              <w:bottom w:val="single" w:sz="2" w:space="0" w:color="000000"/>
            </w:tcBorders>
            <w:shd w:fill="auto" w:val="clear"/>
            <w:vAlign w:val="center"/>
          </w:tcPr>
          <w:p>
            <w:pPr>
              <w:pStyle w:val="TableContents"/>
              <w:widowControl w:val="false"/>
              <w:bidi w:val="0"/>
              <w:jc w:val="center"/>
              <w:rPr>
                <w:b/>
                <w:bCs/>
                <w:sz w:val="24"/>
                <w:szCs w:val="24"/>
              </w:rPr>
            </w:pPr>
            <w:r>
              <w:rPr>
                <w:b/>
                <w:bCs/>
                <w:sz w:val="24"/>
                <w:szCs w:val="24"/>
              </w:rPr>
              <w:t>Mēnešalgas diapazons, EUR</w:t>
            </w:r>
          </w:p>
        </w:tc>
        <w:tc>
          <w:tcPr>
            <w:tcW w:w="2283" w:type="dxa"/>
            <w:tcBorders>
              <w:top w:val="single" w:sz="2" w:space="0" w:color="000000"/>
              <w:left w:val="single" w:sz="2" w:space="0" w:color="000000"/>
              <w:bottom w:val="single" w:sz="2" w:space="0" w:color="000000"/>
              <w:right w:val="single" w:sz="2" w:space="0" w:color="000000"/>
            </w:tcBorders>
            <w:shd w:fill="auto" w:val="clear"/>
            <w:vAlign w:val="center"/>
          </w:tcPr>
          <w:p>
            <w:pPr>
              <w:pStyle w:val="TableContents"/>
              <w:widowControl w:val="false"/>
              <w:bidi w:val="0"/>
              <w:jc w:val="center"/>
              <w:rPr>
                <w:b/>
                <w:bCs/>
                <w:sz w:val="24"/>
                <w:szCs w:val="24"/>
              </w:rPr>
            </w:pPr>
            <w:r>
              <w:rPr>
                <w:b/>
                <w:bCs/>
                <w:sz w:val="24"/>
                <w:szCs w:val="24"/>
              </w:rPr>
              <w:t>Darbinieku skaits</w:t>
            </w:r>
          </w:p>
        </w:tc>
      </w:tr>
      <w:tr>
        <w:trPr/>
        <w:tc>
          <w:tcPr>
            <w:tcW w:w="3771" w:type="dxa"/>
            <w:tcBorders>
              <w:left w:val="single" w:sz="2" w:space="0" w:color="000000"/>
              <w:bottom w:val="single" w:sz="2" w:space="0" w:color="000000"/>
            </w:tcBorders>
            <w:shd w:fill="auto" w:val="clear"/>
          </w:tcPr>
          <w:p>
            <w:pPr>
              <w:pStyle w:val="TableContents"/>
              <w:widowControl w:val="false"/>
              <w:bidi w:val="0"/>
              <w:jc w:val="center"/>
              <w:rPr>
                <w:sz w:val="24"/>
                <w:szCs w:val="24"/>
              </w:rPr>
            </w:pPr>
            <w:r>
              <w:rPr>
                <w:sz w:val="24"/>
                <w:szCs w:val="24"/>
              </w:rPr>
              <w:t>Valdes priekšsēdētājs</w:t>
            </w:r>
          </w:p>
        </w:tc>
        <w:tc>
          <w:tcPr>
            <w:tcW w:w="3591" w:type="dxa"/>
            <w:tcBorders>
              <w:left w:val="single" w:sz="2" w:space="0" w:color="000000"/>
              <w:bottom w:val="single" w:sz="2" w:space="0" w:color="000000"/>
            </w:tcBorders>
            <w:shd w:fill="auto" w:val="clear"/>
          </w:tcPr>
          <w:p>
            <w:pPr>
              <w:pStyle w:val="TableContents"/>
              <w:widowControl w:val="false"/>
              <w:bidi w:val="0"/>
              <w:jc w:val="center"/>
              <w:rPr>
                <w:rFonts w:ascii="Liberation Serif" w:hAnsi="Liberation Serif" w:eastAsia="NSimSun" w:cs="Arial"/>
                <w:color w:val="auto"/>
                <w:kern w:val="2"/>
                <w:sz w:val="24"/>
                <w:szCs w:val="24"/>
                <w:lang w:val="lv-LV" w:eastAsia="zh-CN" w:bidi="hi-IN"/>
              </w:rPr>
            </w:pPr>
            <w:r>
              <w:rPr>
                <w:rFonts w:eastAsia="NSimSun" w:cs="Arial"/>
                <w:color w:val="auto"/>
                <w:kern w:val="2"/>
                <w:sz w:val="24"/>
                <w:szCs w:val="24"/>
                <w:lang w:val="lv-LV" w:eastAsia="zh-CN" w:bidi="hi-IN"/>
              </w:rPr>
              <w:t>3</w:t>
            </w:r>
            <w:r>
              <w:rPr>
                <w:rFonts w:eastAsia="NSimSun" w:cs="Arial"/>
                <w:color w:val="auto"/>
                <w:kern w:val="2"/>
                <w:sz w:val="24"/>
                <w:szCs w:val="24"/>
                <w:lang w:val="lv-LV" w:eastAsia="zh-CN" w:bidi="hi-IN"/>
              </w:rPr>
              <w:t>950</w:t>
            </w:r>
          </w:p>
        </w:tc>
        <w:tc>
          <w:tcPr>
            <w:tcW w:w="2283" w:type="dxa"/>
            <w:tcBorders>
              <w:left w:val="single" w:sz="2" w:space="0" w:color="000000"/>
              <w:bottom w:val="single" w:sz="2" w:space="0" w:color="000000"/>
              <w:right w:val="single" w:sz="2" w:space="0" w:color="000000"/>
            </w:tcBorders>
            <w:shd w:fill="auto" w:val="clear"/>
          </w:tcPr>
          <w:p>
            <w:pPr>
              <w:pStyle w:val="TableContents"/>
              <w:widowControl w:val="false"/>
              <w:bidi w:val="0"/>
              <w:jc w:val="center"/>
              <w:rPr>
                <w:sz w:val="24"/>
                <w:szCs w:val="24"/>
              </w:rPr>
            </w:pPr>
            <w:r>
              <w:rPr>
                <w:sz w:val="24"/>
                <w:szCs w:val="24"/>
              </w:rPr>
              <w:t>1</w:t>
            </w:r>
          </w:p>
        </w:tc>
      </w:tr>
      <w:tr>
        <w:trPr/>
        <w:tc>
          <w:tcPr>
            <w:tcW w:w="3771" w:type="dxa"/>
            <w:tcBorders>
              <w:left w:val="single" w:sz="2" w:space="0" w:color="000000"/>
              <w:bottom w:val="single" w:sz="2" w:space="0" w:color="000000"/>
            </w:tcBorders>
            <w:shd w:fill="auto" w:val="clear"/>
          </w:tcPr>
          <w:p>
            <w:pPr>
              <w:pStyle w:val="TableContents"/>
              <w:widowControl w:val="false"/>
              <w:bidi w:val="0"/>
              <w:jc w:val="center"/>
              <w:rPr>
                <w:sz w:val="24"/>
                <w:szCs w:val="24"/>
              </w:rPr>
            </w:pPr>
            <w:r>
              <w:rPr>
                <w:sz w:val="24"/>
                <w:szCs w:val="24"/>
              </w:rPr>
              <w:t>Struktūrvienības vadītāji</w:t>
            </w:r>
          </w:p>
        </w:tc>
        <w:tc>
          <w:tcPr>
            <w:tcW w:w="3591" w:type="dxa"/>
            <w:tcBorders>
              <w:left w:val="single" w:sz="2" w:space="0" w:color="000000"/>
              <w:bottom w:val="single" w:sz="2" w:space="0" w:color="000000"/>
            </w:tcBorders>
            <w:shd w:fill="auto" w:val="clear"/>
          </w:tcPr>
          <w:p>
            <w:pPr>
              <w:pStyle w:val="TableContents"/>
              <w:widowControl w:val="false"/>
              <w:bidi w:val="0"/>
              <w:jc w:val="center"/>
              <w:rPr/>
            </w:pPr>
            <w:r>
              <w:rPr>
                <w:rFonts w:eastAsia="NSimSun" w:cs="Arial"/>
                <w:color w:val="auto"/>
                <w:kern w:val="2"/>
                <w:sz w:val="24"/>
                <w:szCs w:val="24"/>
                <w:lang w:val="lv-LV" w:eastAsia="zh-CN" w:bidi="hi-IN"/>
              </w:rPr>
              <w:t>2</w:t>
            </w:r>
            <w:r>
              <w:rPr>
                <w:rFonts w:eastAsia="NSimSun" w:cs="Arial"/>
                <w:color w:val="auto"/>
                <w:kern w:val="2"/>
                <w:sz w:val="24"/>
                <w:szCs w:val="24"/>
                <w:lang w:val="lv-LV" w:eastAsia="zh-CN" w:bidi="hi-IN"/>
              </w:rPr>
              <w:t>120</w:t>
            </w:r>
          </w:p>
        </w:tc>
        <w:tc>
          <w:tcPr>
            <w:tcW w:w="2283" w:type="dxa"/>
            <w:tcBorders>
              <w:left w:val="single" w:sz="2" w:space="0" w:color="000000"/>
              <w:bottom w:val="single" w:sz="2" w:space="0" w:color="000000"/>
              <w:right w:val="single" w:sz="2" w:space="0" w:color="000000"/>
            </w:tcBorders>
            <w:shd w:fill="auto" w:val="clear"/>
          </w:tcPr>
          <w:p>
            <w:pPr>
              <w:pStyle w:val="TableContents"/>
              <w:widowControl w:val="false"/>
              <w:bidi w:val="0"/>
              <w:jc w:val="center"/>
              <w:rPr>
                <w:sz w:val="24"/>
                <w:szCs w:val="24"/>
              </w:rPr>
            </w:pPr>
            <w:r>
              <w:rPr>
                <w:sz w:val="24"/>
                <w:szCs w:val="24"/>
              </w:rPr>
              <w:t>2</w:t>
            </w:r>
          </w:p>
        </w:tc>
      </w:tr>
      <w:tr>
        <w:trPr/>
        <w:tc>
          <w:tcPr>
            <w:tcW w:w="3771" w:type="dxa"/>
            <w:tcBorders>
              <w:left w:val="single" w:sz="2" w:space="0" w:color="000000"/>
              <w:bottom w:val="single" w:sz="2" w:space="0" w:color="000000"/>
            </w:tcBorders>
            <w:shd w:fill="auto" w:val="clear"/>
          </w:tcPr>
          <w:p>
            <w:pPr>
              <w:pStyle w:val="TableContents"/>
              <w:widowControl w:val="false"/>
              <w:bidi w:val="0"/>
              <w:jc w:val="center"/>
              <w:rPr>
                <w:sz w:val="24"/>
                <w:szCs w:val="24"/>
              </w:rPr>
            </w:pPr>
            <w:r>
              <w:rPr>
                <w:sz w:val="24"/>
                <w:szCs w:val="24"/>
              </w:rPr>
              <w:t>Speciālisti</w:t>
            </w:r>
          </w:p>
        </w:tc>
        <w:tc>
          <w:tcPr>
            <w:tcW w:w="3591" w:type="dxa"/>
            <w:tcBorders>
              <w:left w:val="single" w:sz="2" w:space="0" w:color="000000"/>
              <w:bottom w:val="single" w:sz="2" w:space="0" w:color="000000"/>
            </w:tcBorders>
            <w:shd w:fill="auto" w:val="clear"/>
          </w:tcPr>
          <w:p>
            <w:pPr>
              <w:pStyle w:val="TableContents"/>
              <w:widowControl w:val="false"/>
              <w:bidi w:val="0"/>
              <w:jc w:val="center"/>
              <w:rPr>
                <w:rFonts w:ascii="Liberation Serif" w:hAnsi="Liberation Serif" w:eastAsia="NSimSun" w:cs="Arial"/>
                <w:color w:val="auto"/>
                <w:kern w:val="2"/>
                <w:sz w:val="24"/>
                <w:szCs w:val="24"/>
                <w:lang w:val="lv-LV" w:eastAsia="zh-CN" w:bidi="hi-IN"/>
              </w:rPr>
            </w:pPr>
            <w:r>
              <w:rPr>
                <w:rFonts w:eastAsia="NSimSun" w:cs="Arial"/>
                <w:color w:val="auto"/>
                <w:kern w:val="2"/>
                <w:sz w:val="24"/>
                <w:szCs w:val="24"/>
                <w:lang w:val="lv-LV" w:eastAsia="zh-CN" w:bidi="hi-IN"/>
              </w:rPr>
              <w:t>15</w:t>
            </w:r>
            <w:r>
              <w:rPr>
                <w:rFonts w:eastAsia="NSimSun" w:cs="Arial"/>
                <w:color w:val="auto"/>
                <w:kern w:val="2"/>
                <w:sz w:val="24"/>
                <w:szCs w:val="24"/>
                <w:lang w:val="lv-LV" w:eastAsia="zh-CN" w:bidi="hi-IN"/>
              </w:rPr>
              <w:t>66</w:t>
            </w:r>
            <w:r>
              <w:rPr>
                <w:rFonts w:eastAsia="NSimSun" w:cs="Arial"/>
                <w:color w:val="auto"/>
                <w:kern w:val="2"/>
                <w:sz w:val="24"/>
                <w:szCs w:val="24"/>
                <w:lang w:val="lv-LV" w:eastAsia="zh-CN" w:bidi="hi-IN"/>
              </w:rPr>
              <w:t>-</w:t>
            </w:r>
            <w:r>
              <w:rPr>
                <w:rFonts w:eastAsia="NSimSun" w:cs="Arial"/>
                <w:color w:val="auto"/>
                <w:kern w:val="2"/>
                <w:sz w:val="24"/>
                <w:szCs w:val="24"/>
                <w:lang w:val="lv-LV" w:eastAsia="zh-CN" w:bidi="hi-IN"/>
              </w:rPr>
              <w:t>2120</w:t>
            </w:r>
          </w:p>
        </w:tc>
        <w:tc>
          <w:tcPr>
            <w:tcW w:w="2283" w:type="dxa"/>
            <w:tcBorders>
              <w:left w:val="single" w:sz="2" w:space="0" w:color="000000"/>
              <w:bottom w:val="single" w:sz="2" w:space="0" w:color="000000"/>
              <w:right w:val="single" w:sz="2" w:space="0" w:color="000000"/>
            </w:tcBorders>
            <w:shd w:fill="auto" w:val="clear"/>
          </w:tcPr>
          <w:p>
            <w:pPr>
              <w:pStyle w:val="TableContents"/>
              <w:widowControl w:val="false"/>
              <w:bidi w:val="0"/>
              <w:jc w:val="center"/>
              <w:rPr>
                <w:sz w:val="24"/>
                <w:szCs w:val="24"/>
              </w:rPr>
            </w:pPr>
            <w:r>
              <w:rPr>
                <w:sz w:val="24"/>
                <w:szCs w:val="24"/>
              </w:rPr>
              <w:t>6</w:t>
            </w:r>
          </w:p>
        </w:tc>
      </w:tr>
      <w:tr>
        <w:trPr/>
        <w:tc>
          <w:tcPr>
            <w:tcW w:w="3771" w:type="dxa"/>
            <w:tcBorders>
              <w:left w:val="single" w:sz="2" w:space="0" w:color="000000"/>
              <w:bottom w:val="single" w:sz="2" w:space="0" w:color="000000"/>
            </w:tcBorders>
            <w:shd w:fill="auto" w:val="clear"/>
          </w:tcPr>
          <w:p>
            <w:pPr>
              <w:pStyle w:val="TableContents"/>
              <w:widowControl w:val="false"/>
              <w:bidi w:val="0"/>
              <w:jc w:val="center"/>
              <w:rPr>
                <w:sz w:val="24"/>
                <w:szCs w:val="24"/>
              </w:rPr>
            </w:pPr>
            <w:r>
              <w:rPr>
                <w:sz w:val="24"/>
                <w:szCs w:val="24"/>
              </w:rPr>
              <w:t>Kvalificēti strādnieki</w:t>
            </w:r>
          </w:p>
        </w:tc>
        <w:tc>
          <w:tcPr>
            <w:tcW w:w="3591" w:type="dxa"/>
            <w:tcBorders>
              <w:left w:val="single" w:sz="2" w:space="0" w:color="000000"/>
              <w:bottom w:val="single" w:sz="2" w:space="0" w:color="000000"/>
            </w:tcBorders>
            <w:shd w:fill="auto" w:val="clear"/>
            <w:vAlign w:val="center"/>
          </w:tcPr>
          <w:p>
            <w:pPr>
              <w:pStyle w:val="TableContents"/>
              <w:widowControl w:val="false"/>
              <w:bidi w:val="0"/>
              <w:jc w:val="center"/>
              <w:rPr>
                <w:rFonts w:ascii="Liberation Serif" w:hAnsi="Liberation Serif" w:eastAsia="NSimSun" w:cs="Arial"/>
                <w:color w:val="auto"/>
                <w:kern w:val="2"/>
                <w:sz w:val="24"/>
                <w:szCs w:val="24"/>
                <w:lang w:val="lv-LV" w:eastAsia="zh-CN" w:bidi="hi-IN"/>
              </w:rPr>
            </w:pPr>
            <w:r>
              <w:rPr>
                <w:rFonts w:eastAsia="NSimSun" w:cs="Arial"/>
                <w:color w:val="auto"/>
                <w:kern w:val="2"/>
                <w:sz w:val="24"/>
                <w:szCs w:val="24"/>
                <w:lang w:val="lv-LV" w:eastAsia="zh-CN" w:bidi="hi-IN"/>
              </w:rPr>
              <w:t>13</w:t>
            </w:r>
            <w:r>
              <w:rPr>
                <w:rFonts w:eastAsia="NSimSun" w:cs="Arial"/>
                <w:color w:val="auto"/>
                <w:kern w:val="2"/>
                <w:sz w:val="24"/>
                <w:szCs w:val="24"/>
                <w:lang w:val="lv-LV" w:eastAsia="zh-CN" w:bidi="hi-IN"/>
              </w:rPr>
              <w:t>70</w:t>
            </w:r>
          </w:p>
        </w:tc>
        <w:tc>
          <w:tcPr>
            <w:tcW w:w="2283" w:type="dxa"/>
            <w:tcBorders>
              <w:left w:val="single" w:sz="2" w:space="0" w:color="000000"/>
              <w:bottom w:val="single" w:sz="2" w:space="0" w:color="000000"/>
              <w:right w:val="single" w:sz="2" w:space="0" w:color="000000"/>
            </w:tcBorders>
            <w:shd w:fill="auto" w:val="clear"/>
            <w:vAlign w:val="center"/>
          </w:tcPr>
          <w:p>
            <w:pPr>
              <w:pStyle w:val="TableContents"/>
              <w:widowControl w:val="false"/>
              <w:bidi w:val="0"/>
              <w:jc w:val="center"/>
              <w:rPr>
                <w:sz w:val="24"/>
                <w:szCs w:val="24"/>
              </w:rPr>
            </w:pPr>
            <w:r>
              <w:rPr>
                <w:sz w:val="24"/>
                <w:szCs w:val="24"/>
              </w:rPr>
              <w:t>1</w:t>
            </w:r>
            <w:r>
              <w:rPr>
                <w:rFonts w:eastAsia="NSimSun" w:cs="Arial"/>
                <w:color w:val="auto"/>
                <w:kern w:val="2"/>
                <w:sz w:val="24"/>
                <w:szCs w:val="24"/>
                <w:lang w:val="lv-LV" w:eastAsia="zh-CN" w:bidi="hi-IN"/>
              </w:rPr>
              <w:t>1</w:t>
            </w:r>
          </w:p>
        </w:tc>
      </w:tr>
      <w:tr>
        <w:trPr/>
        <w:tc>
          <w:tcPr>
            <w:tcW w:w="3771" w:type="dxa"/>
            <w:tcBorders>
              <w:left w:val="single" w:sz="2" w:space="0" w:color="000000"/>
              <w:bottom w:val="single" w:sz="2" w:space="0" w:color="000000"/>
            </w:tcBorders>
            <w:shd w:fill="auto" w:val="clear"/>
          </w:tcPr>
          <w:p>
            <w:pPr>
              <w:pStyle w:val="TableContents"/>
              <w:widowControl w:val="false"/>
              <w:bidi w:val="0"/>
              <w:jc w:val="center"/>
              <w:rPr>
                <w:sz w:val="24"/>
                <w:szCs w:val="24"/>
              </w:rPr>
            </w:pPr>
            <w:r>
              <w:rPr>
                <w:sz w:val="24"/>
                <w:szCs w:val="24"/>
              </w:rPr>
              <w:t>Pārējie darbinieki</w:t>
            </w:r>
          </w:p>
          <w:p>
            <w:pPr>
              <w:pStyle w:val="TableContents"/>
              <w:widowControl w:val="false"/>
              <w:bidi w:val="0"/>
              <w:jc w:val="center"/>
              <w:rPr>
                <w:sz w:val="24"/>
                <w:szCs w:val="24"/>
              </w:rPr>
            </w:pPr>
            <w:r>
              <w:rPr>
                <w:sz w:val="24"/>
                <w:szCs w:val="24"/>
              </w:rPr>
              <w:t>(vienkāršas profesijas)</w:t>
            </w:r>
          </w:p>
        </w:tc>
        <w:tc>
          <w:tcPr>
            <w:tcW w:w="3591" w:type="dxa"/>
            <w:tcBorders>
              <w:left w:val="single" w:sz="2" w:space="0" w:color="000000"/>
              <w:bottom w:val="single" w:sz="2" w:space="0" w:color="000000"/>
            </w:tcBorders>
            <w:shd w:fill="auto" w:val="clear"/>
            <w:vAlign w:val="center"/>
          </w:tcPr>
          <w:p>
            <w:pPr>
              <w:pStyle w:val="TableContents"/>
              <w:widowControl w:val="false"/>
              <w:bidi w:val="0"/>
              <w:jc w:val="center"/>
              <w:rPr>
                <w:rFonts w:ascii="Liberation Serif" w:hAnsi="Liberation Serif" w:eastAsia="NSimSun" w:cs="Arial"/>
                <w:color w:val="auto"/>
                <w:kern w:val="2"/>
                <w:sz w:val="24"/>
                <w:szCs w:val="24"/>
                <w:lang w:val="lv-LV" w:eastAsia="zh-CN" w:bidi="hi-IN"/>
              </w:rPr>
            </w:pPr>
            <w:r>
              <w:rPr>
                <w:rFonts w:eastAsia="NSimSun" w:cs="Arial"/>
                <w:color w:val="auto"/>
                <w:kern w:val="2"/>
                <w:sz w:val="24"/>
                <w:szCs w:val="24"/>
                <w:lang w:val="lv-LV" w:eastAsia="zh-CN" w:bidi="hi-IN"/>
              </w:rPr>
              <w:t>800</w:t>
            </w:r>
            <w:r>
              <w:rPr>
                <w:rFonts w:eastAsia="NSimSun" w:cs="Arial"/>
                <w:color w:val="auto"/>
                <w:kern w:val="2"/>
                <w:sz w:val="24"/>
                <w:szCs w:val="24"/>
                <w:lang w:val="lv-LV" w:eastAsia="zh-CN" w:bidi="hi-IN"/>
              </w:rPr>
              <w:t>-</w:t>
            </w:r>
            <w:r>
              <w:rPr>
                <w:rFonts w:eastAsia="NSimSun" w:cs="Arial"/>
                <w:color w:val="auto"/>
                <w:kern w:val="2"/>
                <w:sz w:val="24"/>
                <w:szCs w:val="24"/>
                <w:lang w:val="lv-LV" w:eastAsia="zh-CN" w:bidi="hi-IN"/>
              </w:rPr>
              <w:t>938</w:t>
            </w:r>
          </w:p>
        </w:tc>
        <w:tc>
          <w:tcPr>
            <w:tcW w:w="2283" w:type="dxa"/>
            <w:tcBorders>
              <w:left w:val="single" w:sz="2" w:space="0" w:color="000000"/>
              <w:bottom w:val="single" w:sz="2" w:space="0" w:color="000000"/>
              <w:right w:val="single" w:sz="2" w:space="0" w:color="000000"/>
            </w:tcBorders>
            <w:shd w:fill="auto" w:val="clear"/>
            <w:vAlign w:val="center"/>
          </w:tcPr>
          <w:p>
            <w:pPr>
              <w:pStyle w:val="TableContents"/>
              <w:widowControl w:val="false"/>
              <w:bidi w:val="0"/>
              <w:jc w:val="center"/>
              <w:rPr>
                <w:sz w:val="24"/>
                <w:szCs w:val="24"/>
              </w:rPr>
            </w:pPr>
            <w:r>
              <w:rPr>
                <w:sz w:val="24"/>
                <w:szCs w:val="24"/>
              </w:rPr>
              <w:t>5</w:t>
            </w:r>
          </w:p>
        </w:tc>
      </w:tr>
    </w:tbl>
    <w:p>
      <w:pPr>
        <w:pStyle w:val="Normal"/>
        <w:bidi w:val="0"/>
        <w:jc w:val="both"/>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lv-LV"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lv-LV" w:eastAsia="zh-CN" w:bidi="hi-IN"/>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59</TotalTime>
  <Application>LibreOffice/25.2.7.2$Windows_X86_64 LibreOffice_project/5cbfd1ab6520636bb5f7b99185aa69bd7456825d</Application>
  <AppVersion>15.0000</AppVersion>
  <Pages>1</Pages>
  <Words>157</Words>
  <Characters>1144</Characters>
  <CharactersWithSpaces>1282</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2020-02-13T15:10:45Z</dcterms:created>
  <dc:creator/>
  <dc:description/>
  <dc:language>lv-LV</dc:language>
  <cp:lastModifiedBy/>
  <cp:lastPrinted>2026-07-27T11:13:55Z</cp:lastPrinted>
  <dcterms:modified xsi:type="dcterms:W3CDTF">2026-07-27T11:43:19Z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