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rPr>
      </w:pPr>
      <w:r>
        <w:rPr>
          <w:rFonts w:ascii="Times New Roman" w:hAnsi="Times New Roman"/>
          <w:b/>
          <w:bCs/>
          <w:shd w:fill="auto" w:val="clear"/>
        </w:rPr>
        <w:t xml:space="preserve">Dobele </w:t>
        <w:tab/>
        <w:tab/>
        <w:tab/>
        <w:tab/>
        <w:tab/>
        <w:tab/>
        <w:tab/>
        <w:tab/>
        <w:tab/>
        <w:tab/>
        <w:t xml:space="preserve">28.10.2024. </w:t>
      </w:r>
    </w:p>
    <w:p>
      <w:pPr>
        <w:pStyle w:val="Normal"/>
        <w:bidi w:val="0"/>
        <w:jc w:val="left"/>
        <w:rPr>
          <w:rFonts w:ascii="Times New Roman" w:hAnsi="Times New Roman"/>
        </w:rPr>
      </w:pPr>
      <w:r>
        <w:rPr>
          <w:rFonts w:ascii="Times New Roman" w:hAnsi="Times New Roman"/>
        </w:rPr>
      </w:r>
    </w:p>
    <w:p>
      <w:pPr>
        <w:pStyle w:val="Normal"/>
        <w:bidi w:val="0"/>
        <w:jc w:val="center"/>
        <w:rPr>
          <w:sz w:val="32"/>
          <w:szCs w:val="32"/>
        </w:rPr>
      </w:pPr>
      <w:r>
        <w:rPr>
          <w:rFonts w:ascii="Times New Roman" w:hAnsi="Times New Roman"/>
          <w:b/>
          <w:bCs/>
          <w:sz w:val="32"/>
          <w:szCs w:val="32"/>
          <w:shd w:fill="auto" w:val="clear"/>
        </w:rPr>
        <w:t xml:space="preserve"> </w:t>
      </w:r>
      <w:r>
        <w:rPr>
          <w:rFonts w:ascii="Times New Roman" w:hAnsi="Times New Roman"/>
          <w:b/>
          <w:bCs/>
          <w:sz w:val="32"/>
          <w:szCs w:val="32"/>
          <w:shd w:fill="auto" w:val="clear"/>
        </w:rPr>
        <w:t>GAZ 53 kravas cisternas</w:t>
      </w:r>
    </w:p>
    <w:p>
      <w:pPr>
        <w:pStyle w:val="Normal"/>
        <w:bidi w:val="0"/>
        <w:jc w:val="center"/>
        <w:rPr/>
      </w:pPr>
      <w:r>
        <w:rPr>
          <w:rFonts w:ascii="Times New Roman" w:hAnsi="Times New Roman"/>
          <w:b/>
          <w:bCs/>
          <w:i/>
          <w:iCs/>
          <w:sz w:val="24"/>
          <w:szCs w:val="24"/>
        </w:rPr>
        <w:t>Izsoles noteikumi</w:t>
      </w:r>
    </w:p>
    <w:p>
      <w:pPr>
        <w:pStyle w:val="Normal"/>
        <w:bidi w:val="0"/>
        <w:jc w:val="left"/>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lang w:val="lv-LV"/>
        </w:rPr>
        <w:tab/>
      </w:r>
      <w:r>
        <w:rPr>
          <w:rFonts w:eastAsia="NSimSun" w:cs="Arial" w:ascii="Times New Roman" w:hAnsi="Times New Roman"/>
          <w:color w:val="auto"/>
          <w:kern w:val="2"/>
          <w:sz w:val="24"/>
          <w:szCs w:val="24"/>
          <w:lang w:val="lv-LV" w:eastAsia="zh-CN" w:bidi="hi-IN"/>
        </w:rPr>
        <w:t>Izsoli veic ar  SIA „Dobeles enerģija”  valdes priekšsēdētāja 28</w:t>
      </w:r>
      <w:r>
        <w:rPr>
          <w:rFonts w:eastAsia="NSimSun" w:cs="Arial" w:ascii="Times New Roman" w:hAnsi="Times New Roman"/>
          <w:color w:val="000000"/>
          <w:kern w:val="2"/>
          <w:sz w:val="24"/>
          <w:szCs w:val="24"/>
          <w:shd w:fill="auto" w:val="clear"/>
          <w:lang w:val="lv-LV" w:eastAsia="zh-CN" w:bidi="hi-IN"/>
        </w:rPr>
        <w:t>.10</w:t>
      </w:r>
      <w:r>
        <w:rPr>
          <w:rFonts w:eastAsia="NSimSun" w:cs="Arial" w:ascii="Times New Roman" w:hAnsi="Times New Roman"/>
          <w:color w:val="auto"/>
          <w:kern w:val="2"/>
          <w:sz w:val="24"/>
          <w:szCs w:val="24"/>
          <w:lang w:val="lv-LV" w:eastAsia="zh-CN" w:bidi="hi-IN"/>
        </w:rPr>
        <w:t>.2024. rīkojumu Nr</w:t>
      </w:r>
      <w:r>
        <w:rPr>
          <w:rFonts w:eastAsia="NSimSun" w:cs="Arial" w:ascii="Times New Roman" w:hAnsi="Times New Roman"/>
          <w:color w:val="000000"/>
          <w:kern w:val="2"/>
          <w:sz w:val="24"/>
          <w:szCs w:val="24"/>
          <w:shd w:fill="auto" w:val="clear"/>
          <w:lang w:val="lv-LV" w:eastAsia="zh-CN" w:bidi="hi-IN"/>
        </w:rPr>
        <w:t>. 54-r</w:t>
      </w:r>
      <w:r>
        <w:rPr>
          <w:rFonts w:eastAsia="NSimSun" w:cs="Arial" w:ascii="Times New Roman" w:hAnsi="Times New Roman"/>
          <w:color w:val="auto"/>
          <w:kern w:val="2"/>
          <w:sz w:val="24"/>
          <w:szCs w:val="24"/>
          <w:lang w:val="lv-LV" w:eastAsia="zh-CN" w:bidi="hi-IN"/>
        </w:rPr>
        <w:t xml:space="preserve">  izveidotu un apstiprinātu izsoles komisiju (turpmāk –Komisija).</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I. Vispārīgie noteikumi</w:t>
      </w:r>
    </w:p>
    <w:p>
      <w:pPr>
        <w:pStyle w:val="Normal"/>
        <w:numPr>
          <w:ilvl w:val="0"/>
          <w:numId w:val="1"/>
        </w:numPr>
        <w:bidi w:val="0"/>
        <w:jc w:val="both"/>
        <w:rPr>
          <w:rFonts w:ascii="Times New Roman" w:hAnsi="Times New Roman"/>
        </w:rPr>
      </w:pPr>
      <w:r>
        <w:rPr>
          <w:rFonts w:ascii="Times New Roman" w:hAnsi="Times New Roman"/>
        </w:rPr>
        <w:t xml:space="preserve">Izsoles priekšmets ir </w:t>
      </w:r>
      <w:r>
        <w:rPr>
          <w:rFonts w:ascii="Times New Roman" w:hAnsi="Times New Roman"/>
          <w:b/>
          <w:bCs/>
        </w:rPr>
        <w:t>kravas cisterna GAZ 53</w:t>
      </w:r>
      <w:r>
        <w:rPr>
          <w:rFonts w:ascii="Times New Roman" w:hAnsi="Times New Roman"/>
          <w:shd w:fill="auto" w:val="clear"/>
        </w:rPr>
        <w:t>, valsts reģ.nr. BZ 8025, pirmā reģistrācija 1983. gadā, šasijas nr. 712892.</w:t>
      </w:r>
    </w:p>
    <w:p>
      <w:pPr>
        <w:pStyle w:val="Normal"/>
        <w:numPr>
          <w:ilvl w:val="0"/>
          <w:numId w:val="1"/>
        </w:numPr>
        <w:bidi w:val="0"/>
        <w:jc w:val="both"/>
        <w:rPr>
          <w:rFonts w:ascii="Times New Roman" w:hAnsi="Times New Roman"/>
        </w:rPr>
      </w:pPr>
      <w:r>
        <w:rPr>
          <w:rFonts w:ascii="Times New Roman" w:hAnsi="Times New Roman"/>
        </w:rPr>
        <w:t xml:space="preserve">Izsoli organizē SIA “Dobeles enerģija” </w:t>
      </w:r>
      <w:r>
        <w:rPr>
          <w:rFonts w:ascii="Times New Roman" w:hAnsi="Times New Roman"/>
          <w:b/>
          <w:bCs/>
        </w:rPr>
        <w:t>2024. gada 1</w:t>
      </w:r>
      <w:r>
        <w:rPr>
          <w:rFonts w:ascii="Times New Roman" w:hAnsi="Times New Roman"/>
          <w:b/>
          <w:bCs/>
          <w:shd w:fill="auto" w:val="clear"/>
        </w:rPr>
        <w:t>9. nov</w:t>
      </w:r>
      <w:r>
        <w:rPr>
          <w:rFonts w:ascii="Times New Roman" w:hAnsi="Times New Roman"/>
          <w:b/>
          <w:bCs/>
        </w:rPr>
        <w:t>embrī plkst. 10.00</w:t>
      </w:r>
      <w:r>
        <w:rPr>
          <w:rFonts w:ascii="Times New Roman" w:hAnsi="Times New Roman"/>
        </w:rPr>
        <w:t xml:space="preserve"> Kr.Valdemāra ielā 3a, Dobelē, Dobeles novadā, SIA “Dobeles enerģija” biroja telpās, saskaņā ar šiem noteikumiem.</w:t>
      </w:r>
    </w:p>
    <w:p>
      <w:pPr>
        <w:pStyle w:val="Normal"/>
        <w:numPr>
          <w:ilvl w:val="0"/>
          <w:numId w:val="1"/>
        </w:numPr>
        <w:bidi w:val="0"/>
        <w:jc w:val="both"/>
        <w:rPr>
          <w:rFonts w:ascii="Times New Roman" w:hAnsi="Times New Roman"/>
        </w:rPr>
      </w:pPr>
      <w:r>
        <w:rPr>
          <w:rFonts w:ascii="Times New Roman" w:hAnsi="Times New Roman"/>
        </w:rPr>
        <w:t>Izsoles veids – mutiska izsole ar augšupejošu soli.</w:t>
      </w:r>
    </w:p>
    <w:p>
      <w:pPr>
        <w:pStyle w:val="Normal"/>
        <w:numPr>
          <w:ilvl w:val="0"/>
          <w:numId w:val="1"/>
        </w:numPr>
        <w:bidi w:val="0"/>
        <w:jc w:val="both"/>
        <w:rPr>
          <w:rFonts w:ascii="Times New Roman" w:hAnsi="Times New Roman"/>
        </w:rPr>
      </w:pPr>
      <w:r>
        <w:rPr>
          <w:rFonts w:ascii="Times New Roman" w:hAnsi="Times New Roman"/>
        </w:rPr>
        <w:t>Izsoles sākumcena i</w:t>
      </w:r>
      <w:r>
        <w:rPr>
          <w:rFonts w:ascii="Times New Roman" w:hAnsi="Times New Roman"/>
          <w:shd w:fill="auto" w:val="clear"/>
        </w:rPr>
        <w:t xml:space="preserve">r </w:t>
      </w:r>
      <w:r>
        <w:rPr>
          <w:rFonts w:ascii="Times New Roman" w:hAnsi="Times New Roman"/>
          <w:b/>
          <w:bCs/>
          <w:u w:val="single"/>
          <w:shd w:fill="auto" w:val="clear"/>
        </w:rPr>
        <w:t xml:space="preserve">1800,00 EUR </w:t>
      </w:r>
      <w:r>
        <w:rPr>
          <w:rFonts w:ascii="Times New Roman" w:hAnsi="Times New Roman"/>
          <w:shd w:fill="auto" w:val="clear"/>
        </w:rPr>
        <w:t>(</w:t>
      </w:r>
      <w:r>
        <w:rPr>
          <w:rFonts w:ascii="Times New Roman" w:hAnsi="Times New Roman"/>
          <w:color w:val="000000"/>
          <w:shd w:fill="auto" w:val="clear"/>
        </w:rPr>
        <w:t xml:space="preserve">tūkstotis astoņi simti </w:t>
      </w:r>
      <w:r>
        <w:rPr>
          <w:rFonts w:ascii="Times New Roman" w:hAnsi="Times New Roman"/>
          <w:shd w:fill="auto" w:val="clear"/>
        </w:rPr>
        <w:t>eiro 00 centi), tai s</w:t>
      </w:r>
      <w:r>
        <w:rPr>
          <w:rFonts w:ascii="Times New Roman" w:hAnsi="Times New Roman"/>
        </w:rPr>
        <w:t>kaitā PVN.</w:t>
      </w:r>
    </w:p>
    <w:p>
      <w:pPr>
        <w:pStyle w:val="Normal"/>
        <w:numPr>
          <w:ilvl w:val="0"/>
          <w:numId w:val="1"/>
        </w:numPr>
        <w:bidi w:val="0"/>
        <w:jc w:val="both"/>
        <w:rPr>
          <w:rFonts w:ascii="Times New Roman" w:hAnsi="Times New Roman"/>
        </w:rPr>
      </w:pPr>
      <w:r>
        <w:rPr>
          <w:rFonts w:ascii="Times New Roman" w:hAnsi="Times New Roman"/>
        </w:rPr>
        <w:t>Izsoles sol</w:t>
      </w:r>
      <w:r>
        <w:rPr>
          <w:rFonts w:ascii="Times New Roman" w:hAnsi="Times New Roman"/>
          <w:shd w:fill="auto" w:val="clear"/>
        </w:rPr>
        <w:t>is – 100,00 EUR.</w:t>
      </w:r>
    </w:p>
    <w:p>
      <w:pPr>
        <w:pStyle w:val="Normal"/>
        <w:numPr>
          <w:ilvl w:val="0"/>
          <w:numId w:val="1"/>
        </w:numPr>
        <w:bidi w:val="0"/>
        <w:jc w:val="both"/>
        <w:rPr>
          <w:rFonts w:ascii="Times New Roman" w:hAnsi="Times New Roman"/>
        </w:rPr>
      </w:pPr>
      <w:r>
        <w:rPr>
          <w:rFonts w:ascii="Times New Roman" w:hAnsi="Times New Roman"/>
        </w:rPr>
        <w:t>Pircējs apņemas segt visas nepieciešamās izmaksas, kas saistītas ar izsoles priekšmeta reģistrēšanu CSDD</w:t>
      </w:r>
      <w:r>
        <w:rPr>
          <w:rFonts w:ascii="Times New Roman" w:hAnsi="Times New Roman"/>
          <w:shd w:fill="auto" w:val="clear"/>
        </w:rPr>
        <w:t>,</w:t>
      </w:r>
      <w:r>
        <w:rPr>
          <w:rFonts w:ascii="Times New Roman" w:hAnsi="Times New Roman"/>
        </w:rPr>
        <w:t xml:space="preserve"> kā arī visus nodokļus un nodevas, ja tādas ir paredzētas, kā arī visus iespējamos riskus, kas saistīti ar tirgus cenu svārstībām plānotajā līguma darbības laikā. </w:t>
      </w:r>
    </w:p>
    <w:p>
      <w:pPr>
        <w:pStyle w:val="Normal"/>
        <w:numPr>
          <w:ilvl w:val="0"/>
          <w:numId w:val="1"/>
        </w:numPr>
        <w:bidi w:val="0"/>
        <w:jc w:val="both"/>
        <w:rPr/>
      </w:pPr>
      <w:r>
        <w:rPr>
          <w:rFonts w:ascii="Times New Roman" w:hAnsi="Times New Roman"/>
        </w:rPr>
        <w:t>Ar Izsoles priekšmetu dalībniekam ir tiesības iepazīties iepriekš sazinoties ar kontaktpersonu: Aivaru Stokenbergu, 29142453</w:t>
      </w:r>
      <w:r>
        <w:rPr>
          <w:rStyle w:val="InternetLink"/>
          <w:rFonts w:ascii="Times New Roman" w:hAnsi="Times New Roman"/>
          <w:color w:val="auto"/>
          <w:u w:val="none"/>
        </w:rPr>
        <w:t>, aivars.stokenbergs@dobelesenergija.lv;</w:t>
      </w:r>
    </w:p>
    <w:p>
      <w:pPr>
        <w:pStyle w:val="Normal"/>
        <w:numPr>
          <w:ilvl w:val="0"/>
          <w:numId w:val="1"/>
        </w:numPr>
        <w:bidi w:val="0"/>
        <w:jc w:val="both"/>
        <w:rPr/>
      </w:pPr>
      <w:r>
        <w:rPr>
          <w:rStyle w:val="InternetLink"/>
          <w:rFonts w:ascii="Times New Roman" w:hAnsi="Times New Roman"/>
          <w:color w:val="auto"/>
          <w:u w:val="none"/>
        </w:rPr>
        <w:t>Kontaktpersona par izsoles norisi: Gundega Geiko, 63707211, gundega.geiko@dobelesenergija.lv;</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II. Izsoles dalībnieku reģistrs</w:t>
      </w:r>
    </w:p>
    <w:p>
      <w:pPr>
        <w:pStyle w:val="Normal"/>
        <w:numPr>
          <w:ilvl w:val="0"/>
          <w:numId w:val="2"/>
        </w:numPr>
        <w:bidi w:val="0"/>
        <w:jc w:val="both"/>
        <w:rPr>
          <w:rFonts w:ascii="Times New Roman" w:hAnsi="Times New Roman"/>
        </w:rPr>
      </w:pPr>
      <w:r>
        <w:rPr>
          <w:rFonts w:ascii="Times New Roman" w:hAnsi="Times New Roman"/>
          <w:b/>
          <w:bCs/>
          <w:u w:val="single"/>
        </w:rPr>
        <w:t>Izsoles dalībnieki var piedalīties izsolē, ja ir iesniegts pieteikums un veikta registrācija 2024.gada</w:t>
      </w:r>
      <w:r>
        <w:rPr>
          <w:rFonts w:ascii="Times New Roman" w:hAnsi="Times New Roman"/>
          <w:b/>
          <w:bCs/>
          <w:u w:val="single"/>
          <w:shd w:fill="auto" w:val="clear"/>
        </w:rPr>
        <w:t xml:space="preserve"> 19.novembrī no plkst. 9:30 l</w:t>
      </w:r>
      <w:r>
        <w:rPr>
          <w:rFonts w:ascii="Times New Roman" w:hAnsi="Times New Roman"/>
          <w:b/>
          <w:bCs/>
          <w:u w:val="single"/>
        </w:rPr>
        <w:t>īdz izsoles sākumam plkst. 10:00.</w:t>
      </w:r>
    </w:p>
    <w:p>
      <w:pPr>
        <w:pStyle w:val="Normal"/>
        <w:numPr>
          <w:ilvl w:val="0"/>
          <w:numId w:val="2"/>
        </w:numPr>
        <w:bidi w:val="0"/>
        <w:jc w:val="both"/>
        <w:rPr>
          <w:rFonts w:ascii="Times New Roman" w:hAnsi="Times New Roman"/>
        </w:rPr>
      </w:pPr>
      <w:r>
        <w:rPr>
          <w:rFonts w:ascii="Times New Roman" w:hAnsi="Times New Roman"/>
        </w:rPr>
        <w:t>Dalībniekam, lai reģistrētos Izsolē ir nepieciešams iesniegt:</w:t>
      </w:r>
    </w:p>
    <w:p>
      <w:pPr>
        <w:pStyle w:val="Normal"/>
        <w:numPr>
          <w:ilvl w:val="1"/>
          <w:numId w:val="2"/>
        </w:numPr>
        <w:bidi w:val="0"/>
        <w:jc w:val="both"/>
        <w:rPr>
          <w:rFonts w:ascii="Times New Roman" w:hAnsi="Times New Roman"/>
        </w:rPr>
      </w:pPr>
      <w:r>
        <w:rPr>
          <w:rFonts w:ascii="Times New Roman" w:hAnsi="Times New Roman"/>
        </w:rPr>
        <w:t>Fiziskām personām – pieteikumu izsolei, kā arī uzrādīt personu apliecinošu dokumentu.</w:t>
      </w:r>
    </w:p>
    <w:p>
      <w:pPr>
        <w:pStyle w:val="Normal"/>
        <w:numPr>
          <w:ilvl w:val="1"/>
          <w:numId w:val="2"/>
        </w:numPr>
        <w:bidi w:val="0"/>
        <w:jc w:val="both"/>
        <w:rPr>
          <w:rFonts w:ascii="Times New Roman" w:hAnsi="Times New Roman"/>
        </w:rPr>
      </w:pPr>
      <w:r>
        <w:rPr>
          <w:rFonts w:ascii="Times New Roman" w:hAnsi="Times New Roman"/>
        </w:rPr>
        <w:t>Juridiskām personām – pieteikums izsolei, LR Uzņēmuma Reģistra izsniegts Komersanta reģistrācijas apliecība, pilnvara piedalīties un pārstāvēt juridisko personu izsolē (derīga uzrādot pasi vai ID karti).</w:t>
      </w:r>
    </w:p>
    <w:p>
      <w:pPr>
        <w:pStyle w:val="Normal"/>
        <w:numPr>
          <w:ilvl w:val="0"/>
          <w:numId w:val="2"/>
        </w:numPr>
        <w:bidi w:val="0"/>
        <w:jc w:val="both"/>
        <w:rPr>
          <w:rFonts w:ascii="Times New Roman" w:hAnsi="Times New Roman"/>
        </w:rPr>
      </w:pPr>
      <w:r>
        <w:rPr>
          <w:rFonts w:ascii="Times New Roman" w:hAnsi="Times New Roman"/>
          <w:b w:val="false"/>
          <w:bCs w:val="false"/>
        </w:rPr>
        <w:t>Izsoles pretendents pēc reģistrācijas pret Izsoles organizato</w:t>
      </w:r>
      <w:r>
        <w:rPr>
          <w:rFonts w:ascii="Times New Roman" w:hAnsi="Times New Roman"/>
        </w:rPr>
        <w:t>ru vairs nevar celt nekādas pretenzijas par izsolāmā objekta stāvokli un izsoles norisi.</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b/>
          <w:bCs/>
        </w:rPr>
        <w:t>III. Informācijas publiskošana un pieejamība</w:t>
      </w:r>
    </w:p>
    <w:p>
      <w:pPr>
        <w:pStyle w:val="Normal"/>
        <w:numPr>
          <w:ilvl w:val="0"/>
          <w:numId w:val="3"/>
        </w:numPr>
        <w:bidi w:val="0"/>
        <w:jc w:val="both"/>
        <w:rPr/>
      </w:pPr>
      <w:r>
        <w:rPr>
          <w:rFonts w:ascii="Times New Roman" w:hAnsi="Times New Roman"/>
          <w:color w:val="000000"/>
          <w:shd w:fill="auto" w:val="clear"/>
        </w:rPr>
        <w:t xml:space="preserve">Sludinājums par izsoli ir publicēts </w:t>
      </w:r>
      <w:r>
        <w:rPr>
          <w:rFonts w:eastAsia="NSimSun" w:cs="Arial" w:ascii="Times New Roman" w:hAnsi="Times New Roman"/>
          <w:color w:val="000000"/>
          <w:kern w:val="2"/>
          <w:sz w:val="24"/>
          <w:szCs w:val="24"/>
          <w:shd w:fill="auto" w:val="clear"/>
          <w:lang w:val="lv-LV" w:eastAsia="zh-CN" w:bidi="hi-IN"/>
        </w:rPr>
        <w:t xml:space="preserve">pašvaldības informatīvajā izdevumā, SIA “Dobeles enerģija” mājas lapā un sludinājuma mājas lapā: </w:t>
      </w:r>
      <w:r>
        <w:rPr>
          <w:rFonts w:eastAsia="NSimSun" w:cs="Arial" w:ascii="Times New Roman" w:hAnsi="Times New Roman"/>
          <w:i/>
          <w:iCs/>
          <w:color w:val="000000"/>
          <w:kern w:val="2"/>
          <w:sz w:val="24"/>
          <w:szCs w:val="24"/>
          <w:shd w:fill="auto" w:val="clear"/>
          <w:lang w:val="lv-LV" w:eastAsia="zh-CN" w:bidi="hi-IN"/>
        </w:rPr>
        <w:t xml:space="preserve">www.ss.lv  </w:t>
      </w:r>
    </w:p>
    <w:p>
      <w:pPr>
        <w:pStyle w:val="Normal"/>
        <w:numPr>
          <w:ilvl w:val="0"/>
          <w:numId w:val="3"/>
        </w:numPr>
        <w:bidi w:val="0"/>
        <w:jc w:val="both"/>
        <w:rPr/>
      </w:pPr>
      <w:r>
        <w:rPr>
          <w:rFonts w:eastAsia="NSimSun" w:cs="Arial" w:ascii="Times New Roman" w:hAnsi="Times New Roman"/>
          <w:color w:val="000000"/>
          <w:kern w:val="2"/>
          <w:sz w:val="24"/>
          <w:szCs w:val="24"/>
          <w:shd w:fill="auto" w:val="clear"/>
          <w:lang w:val="lv-LV" w:eastAsia="zh-CN" w:bidi="hi-IN"/>
        </w:rPr>
        <w:t>Ar izsoles noteikumiem var iepazīties arī klātienē SIA “Dobeles enerģija” birojā Kr.Valdemāra ielā 3a, Dobelē, Dobeles novadā.</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IV. Izsoles procedūra</w:t>
      </w:r>
    </w:p>
    <w:p>
      <w:pPr>
        <w:pStyle w:val="Normal"/>
        <w:numPr>
          <w:ilvl w:val="0"/>
          <w:numId w:val="4"/>
        </w:numPr>
        <w:bidi w:val="0"/>
        <w:jc w:val="both"/>
        <w:rPr>
          <w:rFonts w:ascii="Times New Roman" w:hAnsi="Times New Roman"/>
        </w:rPr>
      </w:pPr>
      <w:r>
        <w:rPr>
          <w:rFonts w:ascii="Times New Roman" w:hAnsi="Times New Roman"/>
        </w:rPr>
        <w:t>Izsole var notikt, ja reģistrējies ir vismaz viens dalībnieks.</w:t>
      </w:r>
    </w:p>
    <w:p>
      <w:pPr>
        <w:pStyle w:val="Normal"/>
        <w:numPr>
          <w:ilvl w:val="0"/>
          <w:numId w:val="4"/>
        </w:numPr>
        <w:bidi w:val="0"/>
        <w:jc w:val="both"/>
        <w:rPr>
          <w:rFonts w:ascii="Times New Roman" w:hAnsi="Times New Roman"/>
        </w:rPr>
      </w:pPr>
      <w:r>
        <w:rPr>
          <w:rFonts w:ascii="Times New Roman" w:hAnsi="Times New Roman"/>
        </w:rPr>
        <w:t>Izsoles gaita tiek protokolēta un to vada komisijas priekšsēdētājs.</w:t>
      </w:r>
    </w:p>
    <w:p>
      <w:pPr>
        <w:pStyle w:val="Normal"/>
        <w:numPr>
          <w:ilvl w:val="0"/>
          <w:numId w:val="4"/>
        </w:numPr>
        <w:bidi w:val="0"/>
        <w:jc w:val="both"/>
        <w:rPr>
          <w:rFonts w:ascii="Times New Roman" w:hAnsi="Times New Roman"/>
        </w:rPr>
      </w:pPr>
      <w:r>
        <w:rPr>
          <w:rFonts w:ascii="Times New Roman" w:hAnsi="Times New Roman"/>
        </w:rPr>
        <w:t>Ja noteiktajā termiņā uz izsoli ir pieteicies tikai viens pretendents, izsoles komisija pārbaude atbilstību izsoles noteikumiem un piedāvā vienīgajam reģistrētajam izsoles dalībniekam, kurš ieradies noteiktajā laikā uz izsoli, pirkt transportlīdzekli par nosacīto sākumcenu.</w:t>
      </w:r>
    </w:p>
    <w:p>
      <w:pPr>
        <w:pStyle w:val="Normal"/>
        <w:numPr>
          <w:ilvl w:val="0"/>
          <w:numId w:val="4"/>
        </w:numPr>
        <w:bidi w:val="0"/>
        <w:jc w:val="both"/>
        <w:rPr>
          <w:rFonts w:ascii="Times New Roman" w:hAnsi="Times New Roman"/>
        </w:rPr>
      </w:pPr>
      <w:r>
        <w:rPr>
          <w:rFonts w:ascii="Times New Roman" w:hAnsi="Times New Roman"/>
        </w:rPr>
        <w:t>Ja  noteiktajā termiņā uz izsoli ir pieteicies vairāk kā viens pretendents:</w:t>
      </w:r>
    </w:p>
    <w:p>
      <w:pPr>
        <w:pStyle w:val="Normal"/>
        <w:numPr>
          <w:ilvl w:val="1"/>
          <w:numId w:val="4"/>
        </w:numPr>
        <w:bidi w:val="0"/>
        <w:jc w:val="both"/>
        <w:rPr>
          <w:rFonts w:ascii="Times New Roman" w:hAnsi="Times New Roman"/>
        </w:rPr>
      </w:pPr>
      <w:r>
        <w:rPr>
          <w:rFonts w:ascii="Times New Roman" w:hAnsi="Times New Roman"/>
        </w:rPr>
        <w:t xml:space="preserve">Izsoles komisija pārbauda pretendentu sarakstu un to tiesības piedalīties izsolē, atbilstoši noteikumu II. daļai. </w:t>
      </w:r>
    </w:p>
    <w:p>
      <w:pPr>
        <w:pStyle w:val="Normal"/>
        <w:numPr>
          <w:ilvl w:val="1"/>
          <w:numId w:val="4"/>
        </w:numPr>
        <w:bidi w:val="0"/>
        <w:jc w:val="both"/>
        <w:rPr>
          <w:rFonts w:ascii="Times New Roman" w:hAnsi="Times New Roman"/>
        </w:rPr>
      </w:pPr>
      <w:r>
        <w:rPr>
          <w:rFonts w:ascii="Times New Roman" w:hAnsi="Times New Roman"/>
        </w:rPr>
        <w:t>Izsoles pretendētu sarakstā ieraksta katra dalībnieku vārdu un uzvārdu vai nosaukumu, kā arī solītāja pārstāvja vārdu un uzvārdu. Izsoles komisija atzīmē katra pretendenta piedāvāto cenu saraksta kārtībā, cenas atzīmēšanu turpinot, kamēr to paaugstina.</w:t>
      </w:r>
    </w:p>
    <w:p>
      <w:pPr>
        <w:pStyle w:val="Normal"/>
        <w:numPr>
          <w:ilvl w:val="1"/>
          <w:numId w:val="4"/>
        </w:numPr>
        <w:bidi w:val="0"/>
        <w:jc w:val="both"/>
        <w:rPr>
          <w:rFonts w:ascii="Times New Roman" w:hAnsi="Times New Roman"/>
        </w:rPr>
      </w:pPr>
      <w:r>
        <w:rPr>
          <w:rFonts w:ascii="Times New Roman" w:hAnsi="Times New Roman"/>
        </w:rPr>
        <w:t>Izsoles komisijas priekšsēdētājs, atklājot izsoli, iepazīstina ar izsoles komisijas sastāvu un pārliecinās par izsoles pretendentu ierašanos saskaņā ar pretendentu sarakstu. Komisijas priekšsēdētājs īsi raksturo pārdodamo izsoles priekšmetu, paziņo sākumcenu, kā arī izsoles soli.</w:t>
      </w:r>
    </w:p>
    <w:p>
      <w:pPr>
        <w:pStyle w:val="Normal"/>
        <w:numPr>
          <w:ilvl w:val="1"/>
          <w:numId w:val="4"/>
        </w:numPr>
        <w:bidi w:val="0"/>
        <w:jc w:val="both"/>
        <w:rPr>
          <w:rFonts w:ascii="Times New Roman" w:hAnsi="Times New Roman"/>
        </w:rPr>
      </w:pPr>
      <w:r>
        <w:rPr>
          <w:rFonts w:ascii="Times New Roman" w:hAnsi="Times New Roman"/>
        </w:rPr>
        <w:t xml:space="preserve">Pēc izsoles komisijas priekšsēdētāja ziņojuma sākās solīšanas process. Izsoles komisijas priekšsēdētājs nosauc izsolāmās kustamās mantas sākumcenu un jautā “Kas sola vairāk?”. Izsoles pretendenti solīšanas procesā paceļ savu roku, lai apliecinātu, ka ir gatavi solīt vairāk par vienu soli. Ja neviens no pretendentiem vairs augstāku cenu nesola, tad komisijas priekšsēdētājs vēl trīs reizes atkārto pēdējo augstāko cenu. Ja pēc trīs atkārtošanās reizēm, nav pieteicies neviens, tad manta tiek pārdota pretendentam, kas solījis pēdējo augtāko cenu. </w:t>
      </w:r>
    </w:p>
    <w:p>
      <w:pPr>
        <w:pStyle w:val="Normal"/>
        <w:numPr>
          <w:ilvl w:val="1"/>
          <w:numId w:val="4"/>
        </w:numPr>
        <w:bidi w:val="0"/>
        <w:jc w:val="both"/>
        <w:rPr>
          <w:rFonts w:ascii="Times New Roman" w:hAnsi="Times New Roman"/>
        </w:rPr>
      </w:pPr>
      <w:r>
        <w:rPr>
          <w:rFonts w:ascii="Times New Roman" w:hAnsi="Times New Roman"/>
        </w:rPr>
        <w:t xml:space="preserve">Par konkrētās izsoles priekšmeta ieguvēju tiek uzskatīts izsoles pretendents, kas nosolījis visaugstāko cenu. </w:t>
      </w:r>
    </w:p>
    <w:p>
      <w:pPr>
        <w:pStyle w:val="Normal"/>
        <w:numPr>
          <w:ilvl w:val="1"/>
          <w:numId w:val="4"/>
        </w:numPr>
        <w:bidi w:val="0"/>
        <w:jc w:val="both"/>
        <w:rPr>
          <w:rFonts w:ascii="Times New Roman" w:hAnsi="Times New Roman"/>
        </w:rPr>
      </w:pPr>
      <w:r>
        <w:rPr>
          <w:rFonts w:ascii="Times New Roman" w:hAnsi="Times New Roman"/>
        </w:rPr>
        <w:t xml:space="preserve">Izsoles pretendents, kurš mantu solījis, bet neparakstījis protokolu, tādējādi ir atteicies no nosolītās mantas. </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V</w:t>
      </w:r>
      <w:r>
        <w:rPr>
          <w:rFonts w:ascii="Times New Roman" w:hAnsi="Times New Roman"/>
          <w:b/>
          <w:bCs/>
          <w:shd w:fill="auto" w:val="clear"/>
        </w:rPr>
        <w:t>. Norēķins par nosolīto mantu</w:t>
      </w:r>
    </w:p>
    <w:p>
      <w:pPr>
        <w:pStyle w:val="Normal"/>
        <w:numPr>
          <w:ilvl w:val="0"/>
          <w:numId w:val="5"/>
        </w:numPr>
        <w:bidi w:val="0"/>
        <w:jc w:val="both"/>
        <w:rPr>
          <w:rFonts w:ascii="Times New Roman" w:hAnsi="Times New Roman"/>
        </w:rPr>
      </w:pPr>
      <w:r>
        <w:rPr>
          <w:rFonts w:ascii="Times New Roman" w:hAnsi="Times New Roman"/>
        </w:rPr>
        <w:t>Izsoles pretendentam, kurš nosolījis austāko cenu, ir jāveic maksājums 7 (septiņu) dienu laikā no izsoles dienas SIA “Dobeles enerģija” bankas kontā.</w:t>
      </w:r>
    </w:p>
    <w:p>
      <w:pPr>
        <w:pStyle w:val="Normal"/>
        <w:numPr>
          <w:ilvl w:val="0"/>
          <w:numId w:val="5"/>
        </w:numPr>
        <w:bidi w:val="0"/>
        <w:jc w:val="both"/>
        <w:rPr>
          <w:rFonts w:ascii="Times New Roman" w:hAnsi="Times New Roman"/>
        </w:rPr>
      </w:pPr>
      <w:r>
        <w:rPr>
          <w:rFonts w:ascii="Times New Roman" w:hAnsi="Times New Roman"/>
        </w:rPr>
        <w:t>Gadījumā, ja izsoles uzvarētājs nesamaksā nosolīto naudu 7 (septiņu) dienu laikā pēc izsoles beigām, izsoles komisijai ir tiesības piedāvāt pirkt izsoles priekšmetu nākamajam izsoles protokolā pretendentam, kas solījis augstāko cenu. Ja pārsolītais pircējs piekrīt izsoles komisijas piedāvājumam, nosolītā summa jāiemaksā  7 (septiņu) darba dienu laikā.</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color w:val="auto"/>
          <w:highlight w:val="none"/>
          <w:shd w:fill="auto" w:val="clear"/>
        </w:rPr>
      </w:pPr>
      <w:r>
        <w:rPr>
          <w:rFonts w:ascii="Times New Roman" w:hAnsi="Times New Roman"/>
          <w:b/>
          <w:bCs/>
          <w:color w:val="000000"/>
          <w:shd w:fill="auto" w:val="clear"/>
        </w:rPr>
        <w:t>VI. Īpašuma tiesības pāreja</w:t>
      </w:r>
    </w:p>
    <w:p>
      <w:pPr>
        <w:pStyle w:val="Normal"/>
        <w:numPr>
          <w:ilvl w:val="0"/>
          <w:numId w:val="6"/>
        </w:numPr>
        <w:bidi w:val="0"/>
        <w:jc w:val="both"/>
        <w:rPr>
          <w:rFonts w:ascii="Times New Roman" w:hAnsi="Times New Roman"/>
        </w:rPr>
      </w:pPr>
      <w:r>
        <w:rPr>
          <w:rFonts w:ascii="Times New Roman" w:hAnsi="Times New Roman"/>
        </w:rPr>
        <w:t>Izsoles dalībnieks, kas solījis augstāko cenu, ne vēlāk kā 7 (septiņu) dienu laikā pēc izsoles rezultātu apstiprināšanas ir jānoslēdz līgums (Pielikums nr.3) par nosolītā izsoles priekšmetu.</w:t>
      </w:r>
    </w:p>
    <w:p>
      <w:pPr>
        <w:pStyle w:val="Normal"/>
        <w:numPr>
          <w:ilvl w:val="0"/>
          <w:numId w:val="6"/>
        </w:numPr>
        <w:bidi w:val="0"/>
        <w:jc w:val="both"/>
        <w:rPr>
          <w:rFonts w:ascii="Times New Roman" w:hAnsi="Times New Roman"/>
        </w:rPr>
      </w:pPr>
      <w:r>
        <w:rPr>
          <w:rFonts w:ascii="Times New Roman" w:hAnsi="Times New Roman"/>
        </w:rPr>
        <w:t>Pēc tam, kad SIA “Dobeles enerģija” norēķinu kontā noteiktajā termiņā ir saņemta nosolītā summa, tiek sagatavots nodošanas – pieņemšanas akts. Izsoles dalībnieks, kas nosolījis augstāko cenu un, to apmaksājis, iegūst izsoles priekšmeta īpašuma tiesības pēc nodošanas – pieņemšanas akta parakstīšanas.</w:t>
      </w:r>
    </w:p>
    <w:p>
      <w:pPr>
        <w:pStyle w:val="Normal"/>
        <w:numPr>
          <w:ilvl w:val="0"/>
          <w:numId w:val="6"/>
        </w:numPr>
        <w:bidi w:val="0"/>
        <w:jc w:val="both"/>
        <w:rPr>
          <w:rFonts w:ascii="Times New Roman" w:hAnsi="Times New Roman"/>
        </w:rPr>
      </w:pPr>
      <w:r>
        <w:rPr>
          <w:rFonts w:ascii="Times New Roman" w:hAnsi="Times New Roman"/>
        </w:rPr>
        <w:t>Persona, kura izsoles rezultātā ir ieguvusi īpašumā izsoles priekšmetu, par saviem līdzekļiem nodrošina tā izvešanu no SIA ”Dobeles enerģijas” teritorijas, kā arī, nepieciešamības gadījumā, reģistrēšanu attiecīgajās valsts institūcijās, visu nodokļu un nodevu nomaksu.</w:t>
      </w:r>
    </w:p>
    <w:p>
      <w:pPr>
        <w:pStyle w:val="Normal"/>
        <w:numPr>
          <w:ilvl w:val="0"/>
          <w:numId w:val="0"/>
        </w:numPr>
        <w:bidi w:val="0"/>
        <w:ind w:left="720" w:hanging="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VII. Nenotikusi izsole</w:t>
      </w:r>
    </w:p>
    <w:p>
      <w:pPr>
        <w:pStyle w:val="Normal"/>
        <w:numPr>
          <w:ilvl w:val="0"/>
          <w:numId w:val="13"/>
        </w:numPr>
        <w:bidi w:val="0"/>
        <w:jc w:val="both"/>
        <w:rPr/>
      </w:pPr>
      <w:r>
        <w:rPr>
          <w:rFonts w:ascii="Times New Roman" w:hAnsi="Times New Roman"/>
        </w:rPr>
        <w:t>Izsole ir uzskatāma par neveiksmīgu, ja noteiktajā termiņā neviens dalībnieks nav reģistrējies vai izsole noslēgusies bez uzvarētāja, vai nosolītājs nav parakstījis līgumu.</w:t>
      </w:r>
    </w:p>
    <w:p>
      <w:pPr>
        <w:pStyle w:val="Normal"/>
        <w:numPr>
          <w:ilvl w:val="0"/>
          <w:numId w:val="14"/>
        </w:numPr>
        <w:bidi w:val="0"/>
        <w:jc w:val="both"/>
        <w:rPr/>
      </w:pPr>
      <w:r>
        <w:rPr>
          <w:rFonts w:ascii="Times New Roman" w:hAnsi="Times New Roman"/>
        </w:rPr>
        <w:t>Lēmumu par izsoles atzīšanu par nesekmīgu pieņem izsoles komisija.</w:t>
      </w:r>
    </w:p>
    <w:p>
      <w:pPr>
        <w:pStyle w:val="Normal"/>
        <w:bidi w:val="0"/>
        <w:jc w:val="center"/>
        <w:rPr>
          <w:rFonts w:ascii="Times New Roman" w:hAnsi="Times New Roman"/>
          <w:b/>
          <w:bCs/>
        </w:rPr>
      </w:pPr>
      <w:r>
        <w:rPr>
          <w:rFonts w:ascii="Times New Roman" w:hAnsi="Times New Roman"/>
          <w:b/>
          <w:bCs/>
        </w:rPr>
      </w:r>
    </w:p>
    <w:p>
      <w:pPr>
        <w:pStyle w:val="Normal"/>
        <w:bidi w:val="0"/>
        <w:jc w:val="center"/>
        <w:rPr>
          <w:rFonts w:ascii="Times New Roman" w:hAnsi="Times New Roman"/>
          <w:b/>
          <w:bCs/>
        </w:rPr>
      </w:pPr>
      <w:r>
        <w:rPr>
          <w:rFonts w:ascii="Times New Roman" w:hAnsi="Times New Roman"/>
          <w:b/>
          <w:bCs/>
        </w:rPr>
      </w:r>
    </w:p>
    <w:p>
      <w:pPr>
        <w:pStyle w:val="Normal"/>
        <w:bidi w:val="0"/>
        <w:jc w:val="center"/>
        <w:rPr>
          <w:rFonts w:ascii="Times New Roman" w:hAnsi="Times New Roman"/>
          <w:b/>
          <w:bCs/>
        </w:rPr>
      </w:pPr>
      <w:r>
        <w:rPr>
          <w:rFonts w:ascii="Times New Roman" w:hAnsi="Times New Roman"/>
          <w:b/>
          <w:bCs/>
        </w:rPr>
      </w:r>
    </w:p>
    <w:p>
      <w:pPr>
        <w:pStyle w:val="Normal"/>
        <w:bidi w:val="0"/>
        <w:jc w:val="center"/>
        <w:rPr>
          <w:rFonts w:ascii="Times New Roman" w:hAnsi="Times New Roman"/>
          <w:b/>
          <w:bCs/>
        </w:rPr>
      </w:pPr>
      <w:r>
        <w:rPr>
          <w:rFonts w:ascii="Times New Roman" w:hAnsi="Times New Roman"/>
          <w:b/>
          <w:bCs/>
        </w:rPr>
        <w:t>VIII. Izsoles komisijas lēmuma pārsūdzēšana</w:t>
      </w:r>
    </w:p>
    <w:p>
      <w:pPr>
        <w:pStyle w:val="Normal"/>
        <w:numPr>
          <w:ilvl w:val="0"/>
          <w:numId w:val="15"/>
        </w:numPr>
        <w:bidi w:val="0"/>
        <w:jc w:val="both"/>
        <w:rPr/>
      </w:pPr>
      <w:r>
        <w:rPr>
          <w:rFonts w:ascii="Times New Roman" w:hAnsi="Times New Roman"/>
        </w:rPr>
        <w:t>Sūdzības par izsoles komisijas lēmumiem vai tās darbībām var iesniegt rakstiski trīs darba dienu laikā pēc izsoles dienas SIA “Dobeles enerģija” valdes priekšsēdētājam.</w:t>
      </w:r>
    </w:p>
    <w:p>
      <w:pPr>
        <w:pStyle w:val="Normal"/>
        <w:numPr>
          <w:ilvl w:val="0"/>
          <w:numId w:val="16"/>
        </w:numPr>
        <w:bidi w:val="0"/>
        <w:jc w:val="both"/>
        <w:rPr>
          <w:rFonts w:ascii="Times New Roman" w:hAnsi="Times New Roman" w:eastAsia="NSimSun" w:cs="Arial"/>
          <w:color w:val="auto"/>
          <w:kern w:val="2"/>
          <w:sz w:val="24"/>
          <w:szCs w:val="24"/>
          <w:lang w:val="lv-LV" w:eastAsia="zh-CN" w:bidi="hi-IN"/>
        </w:rPr>
      </w:pPr>
      <w:r>
        <w:rPr>
          <w:rFonts w:eastAsia="NSimSun" w:cs="Arial" w:ascii="Times New Roman" w:hAnsi="Times New Roman"/>
          <w:color w:val="auto"/>
          <w:kern w:val="2"/>
          <w:sz w:val="24"/>
          <w:szCs w:val="24"/>
          <w:lang w:val="lv-LV" w:eastAsia="zh-CN" w:bidi="hi-IN"/>
        </w:rPr>
        <w:t>Visas sūdzības, kas iesniegtas noteiktajā termiņā, Uzņēmuma valdes priekšsēdētājs izskata 7 (septiņu) darba dienu laikā.</w:t>
      </w:r>
    </w:p>
    <w:p>
      <w:pPr>
        <w:pStyle w:val="Normal"/>
        <w:bidi w:val="0"/>
        <w:jc w:val="both"/>
        <w:rPr>
          <w:rFonts w:ascii="Times New Roman" w:hAnsi="Times New Roman"/>
          <w:b/>
          <w:bCs/>
        </w:rPr>
      </w:pPr>
      <w:r>
        <w:rPr>
          <w:rFonts w:ascii="Times New Roman" w:hAnsi="Times New Roman"/>
          <w:b/>
          <w:bCs/>
        </w:rPr>
        <w:t xml:space="preserve">Pielikumi: </w:t>
      </w:r>
    </w:p>
    <w:p>
      <w:pPr>
        <w:pStyle w:val="Normal"/>
        <w:bidi w:val="0"/>
        <w:jc w:val="both"/>
        <w:rPr>
          <w:rFonts w:ascii="Times New Roman" w:hAnsi="Times New Roman"/>
        </w:rPr>
      </w:pPr>
      <w:r>
        <w:rPr>
          <w:rFonts w:ascii="Times New Roman" w:hAnsi="Times New Roman"/>
        </w:rPr>
        <w:t>1.pielikums – Papildus informācija par transportlīdzekli;</w:t>
      </w:r>
    </w:p>
    <w:p>
      <w:pPr>
        <w:pStyle w:val="Normal"/>
        <w:bidi w:val="0"/>
        <w:jc w:val="both"/>
        <w:rPr>
          <w:rFonts w:ascii="Times New Roman" w:hAnsi="Times New Roman"/>
        </w:rPr>
      </w:pPr>
      <w:r>
        <w:rPr>
          <w:rFonts w:ascii="Times New Roman" w:hAnsi="Times New Roman"/>
        </w:rPr>
        <w:t>2.pielikums - Pieteikums izsolei;</w:t>
      </w:r>
    </w:p>
    <w:p>
      <w:pPr>
        <w:pStyle w:val="Normal"/>
        <w:bidi w:val="0"/>
        <w:jc w:val="both"/>
        <w:rPr>
          <w:rFonts w:ascii="Times New Roman" w:hAnsi="Times New Roman"/>
        </w:rPr>
      </w:pPr>
      <w:r>
        <w:rPr>
          <w:rFonts w:ascii="Times New Roman" w:hAnsi="Times New Roman"/>
        </w:rPr>
        <w:t>3.pielikums – Līguma projekts;</w:t>
      </w:r>
    </w:p>
    <w:p>
      <w:pPr>
        <w:pStyle w:val="Normal"/>
        <w:bidi w:val="0"/>
        <w:jc w:val="both"/>
        <w:rPr>
          <w:rFonts w:ascii="Times New Roman" w:hAnsi="Times New Roman"/>
        </w:rPr>
      </w:pPr>
      <w:r>
        <w:rPr/>
        <w:t>4.pielikums – Fotoattēli ar izsoles priekšmetu.</w:t>
      </w:r>
      <w:r>
        <w:br w:type="page"/>
      </w:r>
    </w:p>
    <w:p>
      <w:pPr>
        <w:pStyle w:val="Normal"/>
        <w:bidi w:val="0"/>
        <w:jc w:val="right"/>
        <w:rPr>
          <w:rFonts w:ascii="Times New Roman" w:hAnsi="Times New Roman"/>
        </w:rPr>
      </w:pPr>
      <w:r>
        <w:rPr>
          <w:rFonts w:ascii="Times New Roman" w:hAnsi="Times New Roman"/>
          <w:b/>
          <w:bCs/>
        </w:rPr>
        <w:t>1.pielikums</w:t>
      </w:r>
    </w:p>
    <w:p>
      <w:pPr>
        <w:pStyle w:val="Normal"/>
        <w:bidi w:val="0"/>
        <w:jc w:val="right"/>
        <w:rPr>
          <w:rFonts w:ascii="Times New Roman" w:hAnsi="Times New Roman"/>
          <w:b/>
          <w:bCs/>
          <w:highlight w:val="none"/>
          <w:shd w:fill="auto" w:val="clear"/>
        </w:rPr>
      </w:pPr>
      <w:r>
        <w:rPr>
          <w:rFonts w:ascii="Times New Roman" w:hAnsi="Times New Roman"/>
          <w:b/>
          <w:bCs/>
          <w:shd w:fill="auto" w:val="clear"/>
        </w:rPr>
      </w:r>
    </w:p>
    <w:p>
      <w:pPr>
        <w:pStyle w:val="Normal"/>
        <w:bidi w:val="0"/>
        <w:jc w:val="center"/>
        <w:rPr>
          <w:highlight w:val="none"/>
          <w:shd w:fill="auto" w:val="clear"/>
        </w:rPr>
      </w:pPr>
      <w:r>
        <w:rPr>
          <w:rFonts w:ascii="Times New Roman" w:hAnsi="Times New Roman"/>
          <w:b/>
          <w:bCs/>
          <w:shd w:fill="auto" w:val="clear"/>
        </w:rPr>
        <w:t>Papildus informācija par transportlīdzekli</w:t>
      </w:r>
    </w:p>
    <w:p>
      <w:pPr>
        <w:pStyle w:val="Normal"/>
        <w:bidi w:val="0"/>
        <w:jc w:val="center"/>
        <w:rPr>
          <w:rFonts w:ascii="Times New Roman" w:hAnsi="Times New Roman"/>
          <w:highlight w:val="none"/>
          <w:shd w:fill="FFFF00" w:val="clear"/>
        </w:rPr>
      </w:pPr>
      <w:r>
        <w:rPr>
          <w:rFonts w:ascii="Times New Roman" w:hAnsi="Times New Roman"/>
          <w:shd w:fill="FFFF00" w:val="clear"/>
        </w:rPr>
      </w:r>
    </w:p>
    <w:p>
      <w:pPr>
        <w:pStyle w:val="Normal"/>
        <w:widowControl w:val="false"/>
        <w:bidi w:val="0"/>
        <w:jc w:val="left"/>
        <w:rPr>
          <w:rFonts w:ascii="Times New Roman" w:hAnsi="Times New Roman"/>
        </w:rPr>
      </w:pPr>
      <w:r>
        <w:rPr>
          <w:rFonts w:ascii="Times New Roman" w:hAnsi="Times New Roman"/>
        </w:rPr>
        <w:t>Marka, modelis: GAZ 53</w:t>
      </w:r>
    </w:p>
    <w:p>
      <w:pPr>
        <w:pStyle w:val="Normal"/>
        <w:widowControl w:val="false"/>
        <w:bidi w:val="0"/>
        <w:jc w:val="left"/>
        <w:rPr>
          <w:rFonts w:ascii="Times New Roman" w:hAnsi="Times New Roman"/>
        </w:rPr>
      </w:pPr>
      <w:r>
        <w:rPr>
          <w:rFonts w:ascii="Times New Roman" w:hAnsi="Times New Roman"/>
        </w:rPr>
        <w:t>Reģistrācijas Nr.:  B</w:t>
      </w:r>
      <w:r>
        <w:rPr>
          <w:rFonts w:ascii="Times New Roman" w:hAnsi="Times New Roman"/>
          <w:shd w:fill="auto" w:val="clear"/>
        </w:rPr>
        <w:t>Z 8025</w:t>
      </w:r>
    </w:p>
    <w:p>
      <w:pPr>
        <w:pStyle w:val="Normal"/>
        <w:widowControl w:val="false"/>
        <w:bidi w:val="0"/>
        <w:jc w:val="left"/>
        <w:rPr>
          <w:rFonts w:ascii="Times New Roman" w:hAnsi="Times New Roman"/>
        </w:rPr>
      </w:pPr>
      <w:r>
        <w:rPr>
          <w:rFonts w:ascii="Times New Roman" w:hAnsi="Times New Roman"/>
        </w:rPr>
        <w:t>Tips: Kravas cisterna</w:t>
      </w:r>
    </w:p>
    <w:p>
      <w:pPr>
        <w:pStyle w:val="Normal"/>
        <w:widowControl w:val="false"/>
        <w:bidi w:val="0"/>
        <w:jc w:val="left"/>
        <w:rPr>
          <w:rFonts w:ascii="Times New Roman" w:hAnsi="Times New Roman"/>
        </w:rPr>
      </w:pPr>
      <w:r>
        <w:rPr>
          <w:rFonts w:ascii="Times New Roman" w:hAnsi="Times New Roman"/>
        </w:rPr>
        <w:t>Pilna masa(kg)</w:t>
      </w:r>
      <w:r>
        <w:rPr>
          <w:rFonts w:ascii="Times New Roman" w:hAnsi="Times New Roman"/>
          <w:shd w:fill="auto" w:val="clear"/>
        </w:rPr>
        <w:t>: 7400 kg</w:t>
      </w:r>
    </w:p>
    <w:p>
      <w:pPr>
        <w:pStyle w:val="Normal"/>
        <w:widowControl w:val="false"/>
        <w:bidi w:val="0"/>
        <w:jc w:val="left"/>
        <w:rPr>
          <w:highlight w:val="none"/>
          <w:shd w:fill="auto" w:val="clear"/>
        </w:rPr>
      </w:pPr>
      <w:r>
        <w:rPr>
          <w:rFonts w:ascii="Times New Roman" w:hAnsi="Times New Roman"/>
          <w:shd w:fill="auto" w:val="clear"/>
        </w:rPr>
        <w:t>Šasijas nr. 712892</w:t>
      </w:r>
    </w:p>
    <w:p>
      <w:pPr>
        <w:pStyle w:val="Normal"/>
        <w:widowControl w:val="false"/>
        <w:bidi w:val="0"/>
        <w:jc w:val="left"/>
        <w:rPr>
          <w:rFonts w:ascii="Times New Roman" w:hAnsi="Times New Roman"/>
        </w:rPr>
      </w:pPr>
      <w:r>
        <w:rPr>
          <w:rFonts w:ascii="Times New Roman" w:hAnsi="Times New Roman"/>
        </w:rPr>
        <w:t>1. reģistrācija</w:t>
      </w:r>
      <w:r>
        <w:rPr>
          <w:rFonts w:ascii="Times New Roman" w:hAnsi="Times New Roman"/>
          <w:shd w:fill="auto" w:val="clear"/>
        </w:rPr>
        <w:t>: 1983.gads</w:t>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shd w:fill="auto" w:val="clear"/>
        </w:rPr>
        <w:t>Kravas cisternas tilpums, m</w:t>
      </w:r>
      <w:r>
        <w:rPr>
          <w:rFonts w:ascii="Times New Roman" w:hAnsi="Times New Roman"/>
          <w:shd w:fill="auto" w:val="clear"/>
          <w:vertAlign w:val="superscript"/>
        </w:rPr>
        <w:t>3</w:t>
      </w:r>
      <w:r>
        <w:rPr>
          <w:rFonts w:ascii="Times New Roman" w:hAnsi="Times New Roman"/>
          <w:position w:val="0"/>
          <w:sz w:val="24"/>
          <w:sz w:val="24"/>
          <w:shd w:fill="auto" w:val="clear"/>
          <w:vertAlign w:val="baseline"/>
        </w:rPr>
        <w:t>: 4</w:t>
      </w:r>
    </w:p>
    <w:p>
      <w:pPr>
        <w:pStyle w:val="Normal"/>
        <w:widowControl w:val="false"/>
        <w:bidi w:val="0"/>
        <w:jc w:val="left"/>
        <w:rPr>
          <w:rFonts w:ascii="Times New Roman" w:hAnsi="Times New Roman"/>
        </w:rPr>
      </w:pPr>
      <w:r>
        <w:rPr/>
      </w:r>
    </w:p>
    <w:p>
      <w:pPr>
        <w:pStyle w:val="Normal"/>
        <w:widowControl w:val="false"/>
        <w:bidi w:val="0"/>
        <w:jc w:val="left"/>
        <w:rPr>
          <w:rFonts w:ascii="Times New Roman" w:hAnsi="Times New Roman"/>
        </w:rPr>
      </w:pPr>
      <w:r>
        <w:rPr>
          <w:rFonts w:ascii="Times New Roman" w:hAnsi="Times New Roman"/>
          <w:position w:val="0"/>
          <w:sz w:val="24"/>
          <w:sz w:val="24"/>
          <w:shd w:fill="auto" w:val="clear"/>
          <w:vertAlign w:val="baseline"/>
        </w:rPr>
        <w:t>Degviela: Benzīns</w:t>
      </w:r>
    </w:p>
    <w:p>
      <w:pPr>
        <w:pStyle w:val="Normal"/>
        <w:widowControl w:val="false"/>
        <w:bidi w:val="0"/>
        <w:jc w:val="left"/>
        <w:rPr>
          <w:rFonts w:ascii="Times New Roman" w:hAnsi="Times New Roman"/>
        </w:rPr>
      </w:pPr>
      <w:r>
        <w:rPr>
          <w:rFonts w:ascii="Times New Roman" w:hAnsi="Times New Roman"/>
        </w:rPr>
        <w:t>Motora tiltums (l): 4,25</w:t>
      </w:r>
    </w:p>
    <w:p>
      <w:pPr>
        <w:pStyle w:val="Normal"/>
        <w:widowControl w:val="false"/>
        <w:bidi w:val="0"/>
        <w:jc w:val="left"/>
        <w:rPr>
          <w:rFonts w:ascii="Times New Roman" w:hAnsi="Times New Roman"/>
        </w:rPr>
      </w:pPr>
      <w:r>
        <w:rPr>
          <w:rFonts w:ascii="Times New Roman" w:hAnsi="Times New Roman"/>
        </w:rPr>
        <w:t>Motora maks.jauda(kW): 115</w:t>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t>Krāsa: Tumši zaļa</w:t>
      </w:r>
    </w:p>
    <w:p>
      <w:pPr>
        <w:pStyle w:val="Normal"/>
        <w:widowControl w:val="false"/>
        <w:bidi w:val="0"/>
        <w:jc w:val="left"/>
        <w:rPr>
          <w:highlight w:val="none"/>
          <w:shd w:fill="auto" w:val="clear"/>
        </w:rPr>
      </w:pPr>
      <w:r>
        <w:rPr>
          <w:shd w:fill="auto" w:val="clear"/>
        </w:rPr>
      </w:r>
    </w:p>
    <w:p>
      <w:pPr>
        <w:pStyle w:val="Normal"/>
        <w:widowControl w:val="false"/>
        <w:bidi w:val="0"/>
        <w:jc w:val="left"/>
        <w:rPr>
          <w:rFonts w:ascii="Times New Roman" w:hAnsi="Times New Roman"/>
        </w:rPr>
      </w:pPr>
      <w:r>
        <w:rPr>
          <w:rFonts w:ascii="Times New Roman" w:hAnsi="Times New Roman"/>
          <w:position w:val="0"/>
          <w:sz w:val="24"/>
          <w:sz w:val="24"/>
          <w:shd w:fill="auto" w:val="clear"/>
          <w:vertAlign w:val="baseline"/>
        </w:rPr>
        <w:t>Tehniskā apskate: līdz 19.03.2025.</w:t>
      </w:r>
    </w:p>
    <w:p>
      <w:pPr>
        <w:pStyle w:val="Normal"/>
        <w:widowControl w:val="false"/>
        <w:bidi w:val="0"/>
        <w:jc w:val="left"/>
        <w:rPr>
          <w:rFonts w:ascii="Times New Roman" w:hAnsi="Times New Roman"/>
        </w:rPr>
      </w:pPr>
      <w:r>
        <w:rPr/>
      </w:r>
    </w:p>
    <w:p>
      <w:pPr>
        <w:pStyle w:val="Normal"/>
        <w:widowControl w:val="false"/>
        <w:bidi w:val="0"/>
        <w:jc w:val="left"/>
        <w:rPr>
          <w:rFonts w:ascii="Times New Roman" w:hAnsi="Times New Roman"/>
        </w:rPr>
      </w:pPr>
      <w:r>
        <w:rPr/>
      </w:r>
    </w:p>
    <w:p>
      <w:pPr>
        <w:pStyle w:val="Normal"/>
        <w:widowControl w:val="false"/>
        <w:bidi w:val="0"/>
        <w:jc w:val="left"/>
        <w:rPr>
          <w:rFonts w:ascii="Times New Roman" w:hAnsi="Times New Roman"/>
        </w:rPr>
      </w:pPr>
      <w:r>
        <w:rPr/>
      </w:r>
    </w:p>
    <w:p>
      <w:pPr>
        <w:pStyle w:val="Normal"/>
        <w:widowControl w:val="false"/>
        <w:bidi w:val="0"/>
        <w:jc w:val="left"/>
        <w:rPr>
          <w:rFonts w:ascii="Times New Roman" w:hAnsi="Times New Roman"/>
        </w:rPr>
      </w:pPr>
      <w:r>
        <w:rPr/>
      </w:r>
    </w:p>
    <w:p>
      <w:pPr>
        <w:pStyle w:val="Normal"/>
        <w:widowControl w:val="false"/>
        <w:bidi w:val="0"/>
        <w:jc w:val="left"/>
        <w:rPr>
          <w:rFonts w:ascii="Times New Roman" w:hAnsi="Times New Roman"/>
        </w:rPr>
      </w:pPr>
      <w:r>
        <w:rPr/>
      </w:r>
    </w:p>
    <w:p>
      <w:pPr>
        <w:pStyle w:val="Normal"/>
        <w:bidi w:val="0"/>
        <w:jc w:val="both"/>
        <w:rPr/>
      </w:pPr>
      <w:r>
        <w:rPr/>
        <w:t xml:space="preserve">Transportlīdzeklis ir labā tehniskā darba kārtībā. </w:t>
      </w:r>
    </w:p>
    <w:p>
      <w:pPr>
        <w:pStyle w:val="Normal"/>
        <w:bidi w:val="0"/>
        <w:jc w:val="both"/>
        <w:rPr/>
      </w:pPr>
      <w:r>
        <w:rPr/>
      </w:r>
    </w:p>
    <w:p>
      <w:pPr>
        <w:pStyle w:val="Normal"/>
        <w:bidi w:val="0"/>
        <w:jc w:val="both"/>
        <w:rPr/>
      </w:pPr>
      <w:r>
        <w:rPr/>
        <w:t xml:space="preserve">Aprīkojums: kravas cisterna ar vakuuma sūkni, mākslīgie ādas sēdekļi, </w:t>
      </w:r>
      <w:r>
        <w:rPr>
          <w:rFonts w:eastAsia="NSimSun" w:cs="Arial" w:ascii="Times New Roman" w:hAnsi="Times New Roman"/>
        </w:rPr>
        <w:t>Ø</w:t>
      </w:r>
      <w:r>
        <w:rPr/>
        <w:t>65mm un 4metri gara iesūknēšanas un iztukšošanas šļūtene, avārijas bākuguns.</w:t>
      </w:r>
    </w:p>
    <w:p>
      <w:pPr>
        <w:pStyle w:val="Normal"/>
        <w:bidi w:val="0"/>
        <w:jc w:val="both"/>
        <w:rPr>
          <w:rFonts w:ascii="Times New Roman" w:hAnsi="Times New Roman"/>
          <w:highlight w:val="none"/>
          <w:shd w:fill="FFFF00" w:val="clear"/>
        </w:rPr>
      </w:pPr>
      <w:r>
        <w:rPr>
          <w:rFonts w:ascii="Times New Roman" w:hAnsi="Times New Roman"/>
          <w:shd w:fill="FFFF00" w:val="clear"/>
        </w:rPr>
      </w:r>
    </w:p>
    <w:p>
      <w:pPr>
        <w:pStyle w:val="Normal"/>
        <w:bidi w:val="0"/>
        <w:jc w:val="both"/>
        <w:rPr>
          <w:highlight w:val="none"/>
          <w:shd w:fill="FFFF00" w:val="clear"/>
        </w:rPr>
      </w:pPr>
      <w:r>
        <w:rPr/>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r>
        <w:br w:type="page"/>
      </w:r>
    </w:p>
    <w:p>
      <w:pPr>
        <w:pStyle w:val="Normal"/>
        <w:bidi w:val="0"/>
        <w:jc w:val="right"/>
        <w:rPr>
          <w:rFonts w:ascii="Times New Roman" w:hAnsi="Times New Roman"/>
        </w:rPr>
      </w:pPr>
      <w:r>
        <w:rPr>
          <w:rFonts w:ascii="Times New Roman" w:hAnsi="Times New Roman"/>
          <w:b/>
          <w:bCs/>
        </w:rPr>
        <w:t>2.pielikums</w:t>
      </w:r>
    </w:p>
    <w:p>
      <w:pPr>
        <w:pStyle w:val="Normal"/>
        <w:bidi w:val="0"/>
        <w:jc w:val="right"/>
        <w:rPr>
          <w:b/>
          <w:bCs/>
        </w:rPr>
      </w:pPr>
      <w:r>
        <w:rPr>
          <w:b/>
          <w:bCs/>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PIETEIKUMS dalībai izsolē</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b/>
          <w:bCs/>
          <w:u w:val="single"/>
        </w:rPr>
      </w:pPr>
      <w:r>
        <w:rPr>
          <w:rFonts w:cs="Times New Roman" w:ascii="Times New Roman" w:hAnsi="Times New Roman"/>
          <w:b/>
          <w:bCs/>
          <w:sz w:val="24"/>
          <w:szCs w:val="24"/>
          <w:u w:val="single"/>
        </w:rPr>
        <w:t>Pretendents:</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Nosaukums (uzņēmums) /vārds, uzvārds </w:t>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Reģistrācijas Nr./personas kods</w:t>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Juridiskā/deklarētā dzīvesvietas adrese</w:t>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Kontakttālrunis un e-pasta adrese</w:t>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Bankas rekvizīti</w:t>
        <w:tab/>
        <w:tab/>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____________________________________</w:t>
      </w:r>
    </w:p>
    <w:p>
      <w:pPr>
        <w:pStyle w:val="Normal"/>
        <w:jc w:val="both"/>
        <w:rPr>
          <w:b/>
          <w:bCs/>
        </w:rPr>
      </w:pPr>
      <w:r>
        <w:rPr>
          <w:rFonts w:cs="Times New Roman" w:ascii="Times New Roman" w:hAnsi="Times New Roman"/>
          <w:b/>
          <w:bCs/>
          <w:sz w:val="24"/>
          <w:szCs w:val="24"/>
        </w:rPr>
        <w:t>Persona, kura ir tiesīga pārstāvēt pretendentu</w:t>
      </w:r>
    </w:p>
    <w:p>
      <w:pPr>
        <w:pStyle w:val="Normal"/>
        <w:jc w:val="both"/>
        <w:rPr>
          <w:rFonts w:ascii="Times New Roman" w:hAnsi="Times New Roman" w:cs="Times New Roman"/>
          <w:sz w:val="24"/>
          <w:szCs w:val="24"/>
        </w:rPr>
      </w:pPr>
      <w:r>
        <w:rPr>
          <w:rFonts w:cs="Times New Roman" w:ascii="Times New Roman" w:hAnsi="Times New Roman"/>
          <w:b/>
          <w:bCs/>
          <w:sz w:val="24"/>
          <w:szCs w:val="24"/>
        </w:rPr>
        <w:t>vai pilnvarotā persona</w:t>
      </w:r>
      <w:r>
        <w:rPr>
          <w:rFonts w:cs="Times New Roman" w:ascii="Times New Roman" w:hAnsi="Times New Roman"/>
          <w:sz w:val="24"/>
          <w:szCs w:val="24"/>
        </w:rPr>
        <w:tab/>
        <w:tab/>
        <w:tab/>
        <w:t xml:space="preserve">     </w:t>
        <w:tab/>
        <w:t>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Ar šī pieteikuma iesniegšanu ___________________________________________________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(pretendenta nosaukums)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cs="" w:asciiTheme="majorBidi" w:cstheme="majorBidi" w:hAnsiTheme="majorBidi"/>
          <w:color w:val="000000" w:themeColor="text1"/>
          <w:sz w:val="24"/>
          <w:szCs w:val="24"/>
        </w:rPr>
      </w:pPr>
      <w:r>
        <w:rPr>
          <w:rFonts w:cs="Times New Roman" w:ascii="Times New Roman" w:hAnsi="Times New Roman"/>
          <w:sz w:val="24"/>
          <w:szCs w:val="24"/>
        </w:rPr>
        <w:t>piesaka savu dalību</w:t>
      </w:r>
      <w:r>
        <w:rPr>
          <w:rFonts w:cs="Times New Roman" w:ascii="Times New Roman" w:hAnsi="Times New Roman"/>
          <w:sz w:val="24"/>
          <w:szCs w:val="24"/>
          <w:shd w:fill="auto" w:val="clear"/>
        </w:rPr>
        <w:t xml:space="preserve"> </w:t>
      </w:r>
      <w:r>
        <w:rPr>
          <w:rFonts w:cs="" w:ascii="Times New Roman" w:hAnsi="Times New Roman" w:cstheme="majorBidi"/>
          <w:b/>
          <w:bCs/>
          <w:i/>
          <w:iCs/>
          <w:color w:val="000000" w:themeColor="text1"/>
          <w:sz w:val="24"/>
          <w:szCs w:val="24"/>
          <w:shd w:fill="auto" w:val="clear"/>
        </w:rPr>
        <w:t>kravas cisternas GAZ 53</w:t>
      </w:r>
      <w:r>
        <w:rPr>
          <w:rFonts w:cs="" w:ascii="Times New Roman" w:hAnsi="Times New Roman"/>
          <w:i/>
          <w:iCs/>
          <w:color w:val="000000"/>
          <w:sz w:val="24"/>
          <w:szCs w:val="24"/>
          <w:shd w:fill="auto" w:val="clear"/>
        </w:rPr>
        <w:t>, valsts reģ.nr. BZ 8025</w:t>
      </w:r>
      <w:r>
        <w:rPr>
          <w:rFonts w:cs="" w:asciiTheme="majorBidi" w:cstheme="majorBidi" w:hAnsiTheme="majorBidi"/>
          <w:color w:val="000000" w:themeColor="text1"/>
          <w:sz w:val="24"/>
          <w:szCs w:val="24"/>
        </w:rPr>
        <w:t>, izsolei</w:t>
      </w:r>
    </w:p>
    <w:p>
      <w:pPr>
        <w:pStyle w:val="Normal"/>
        <w:jc w:val="both"/>
        <w:rPr>
          <w:rFonts w:ascii="Times New Roman" w:hAnsi="Times New Roman" w:eastAsia="SimSun" w:cs="Times New Roman"/>
          <w:color w:val="000000"/>
          <w:sz w:val="24"/>
          <w:szCs w:val="24"/>
          <w:lang w:eastAsia="lv-LV"/>
        </w:rPr>
      </w:pPr>
      <w:r>
        <w:rPr>
          <w:rFonts w:eastAsia="SimSun" w:cs="Times New Roman" w:ascii="Times New Roman" w:hAnsi="Times New Roman"/>
          <w:color w:val="000000"/>
          <w:sz w:val="24"/>
          <w:szCs w:val="24"/>
          <w:lang w:eastAsia="lv-LV"/>
        </w:rPr>
      </w:r>
    </w:p>
    <w:p>
      <w:pPr>
        <w:pStyle w:val="Normal"/>
        <w:jc w:val="both"/>
        <w:rPr>
          <w:rFonts w:ascii="Times New Roman" w:hAnsi="Times New Roman" w:cs="Times New Roman"/>
          <w:b/>
          <w:bCs/>
          <w:i/>
          <w:i/>
          <w:iCs/>
          <w:sz w:val="24"/>
          <w:szCs w:val="24"/>
        </w:rPr>
      </w:pPr>
      <w:r>
        <w:rPr>
          <w:rFonts w:cs="Times New Roman" w:ascii="Times New Roman" w:hAnsi="Times New Roman"/>
          <w:b/>
          <w:bCs/>
          <w:i/>
          <w:iCs/>
          <w:sz w:val="24"/>
          <w:szCs w:val="24"/>
        </w:rPr>
        <w:t xml:space="preserve">Apliecinu, ka: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esmu iepazinies ar izsoles nolikuma un tā pielikumu saturu, atzīstu to par pareizu, saprotamu un atbilstošu, man ir skaidras un saprotamas manas tiesības un pienākumi, kas ir noteikti nolikumā un normatīvajos aktos; </w:t>
      </w:r>
    </w:p>
    <w:p>
      <w:pPr>
        <w:pStyle w:val="Normal"/>
        <w:jc w:val="both"/>
        <w:rPr>
          <w:rFonts w:ascii="Times New Roman" w:hAnsi="Times New Roman" w:cs="Times New Roman"/>
          <w:sz w:val="24"/>
          <w:szCs w:val="24"/>
        </w:rPr>
      </w:pPr>
      <w:r>
        <w:rPr>
          <w:rFonts w:cs="Times New Roman" w:ascii="Times New Roman" w:hAnsi="Times New Roman"/>
          <w:sz w:val="24"/>
          <w:szCs w:val="24"/>
        </w:rPr>
        <w:t>2. man ir skaidras un saprotamas nolikumā noteiktās prasības piedāvājuma sagatavošanai, līguma priekšmets, līguma noteikumi, līdz ar ko atzīstu, ka izsoles komisija ir nodrošinājusi iespēju bez neattaisnojama riska iesniegt savu piedāvājumu izsolei;</w:t>
      </w:r>
    </w:p>
    <w:p>
      <w:pPr>
        <w:pStyle w:val="Normal"/>
        <w:jc w:val="both"/>
        <w:rPr>
          <w:rFonts w:ascii="Times New Roman" w:hAnsi="Times New Roman" w:cs="Times New Roman"/>
          <w:sz w:val="24"/>
          <w:szCs w:val="24"/>
        </w:rPr>
      </w:pPr>
      <w:r>
        <w:rPr>
          <w:rFonts w:cs="Times New Roman" w:ascii="Times New Roman" w:hAnsi="Times New Roman"/>
          <w:sz w:val="24"/>
          <w:szCs w:val="24"/>
        </w:rPr>
        <w:t>3. visas izsoles piedāvājumā sniegtās ziņas par pretendentu ir patiesas, atbilstam nolikumā noteiktajām prasībām pretendentam;</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Saņēmējs: vārds, uzvārds/nosaukums, personas kods/reģistrācijas Nr.</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Banka: </w:t>
        <w:tab/>
        <w:tab/>
        <w:t>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Kods: </w:t>
        <w:tab/>
        <w:tab/>
        <w:tab/>
        <w:t>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Konta numurs:</w:t>
        <w:tab/>
        <w:t>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(paraksts, tā atšifrējums)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(datums)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bidi w:val="0"/>
        <w:jc w:val="center"/>
        <w:rPr>
          <w:b/>
          <w:bCs/>
        </w:rPr>
      </w:pPr>
      <w:r>
        <w:rPr>
          <w:b/>
          <w:bCs/>
        </w:rPr>
      </w:r>
    </w:p>
    <w:p>
      <w:pPr>
        <w:pStyle w:val="Normal"/>
        <w:bidi w:val="0"/>
        <w:jc w:val="center"/>
        <w:rPr>
          <w:b/>
          <w:bCs/>
        </w:rPr>
      </w:pPr>
      <w:r>
        <w:rPr>
          <w:b/>
          <w:bCs/>
        </w:rPr>
      </w:r>
      <w:r>
        <w:br w:type="page"/>
      </w:r>
    </w:p>
    <w:p>
      <w:pPr>
        <w:pStyle w:val="Normal"/>
        <w:bidi w:val="0"/>
        <w:jc w:val="right"/>
        <w:rPr>
          <w:rFonts w:ascii="Times New Roman" w:hAnsi="Times New Roman"/>
        </w:rPr>
      </w:pPr>
      <w:r>
        <w:rPr>
          <w:rFonts w:ascii="Times New Roman" w:hAnsi="Times New Roman"/>
          <w:b/>
          <w:bCs/>
        </w:rPr>
        <w:t>3.pielikums</w:t>
      </w:r>
    </w:p>
    <w:p>
      <w:pPr>
        <w:pStyle w:val="Normal"/>
        <w:widowControl w:val="false"/>
        <w:spacing w:lineRule="auto" w:line="240" w:before="0" w:after="0"/>
        <w:ind w:hanging="11"/>
        <w:jc w:val="center"/>
        <w:rPr>
          <w:highlight w:val="none"/>
          <w:shd w:fill="auto" w:val="clear"/>
        </w:rPr>
      </w:pPr>
      <w:r>
        <w:rPr>
          <w:rFonts w:eastAsia="Calibri" w:cs="Times New Roman" w:ascii="Times New Roman" w:hAnsi="Times New Roman"/>
          <w:b/>
          <w:color w:val="000000"/>
          <w:sz w:val="24"/>
          <w:szCs w:val="24"/>
          <w:shd w:fill="auto" w:val="clear"/>
          <w:lang w:eastAsia="lv-LV"/>
        </w:rPr>
        <w:t>LĪGUMS Nr. ___________</w:t>
      </w:r>
    </w:p>
    <w:p>
      <w:pPr>
        <w:pStyle w:val="Normal"/>
        <w:widowControl w:val="false"/>
        <w:spacing w:lineRule="auto" w:line="240" w:before="0" w:after="0"/>
        <w:ind w:hanging="11"/>
        <w:jc w:val="both"/>
        <w:rPr>
          <w:rFonts w:ascii="Times New Roman" w:hAnsi="Times New Roman" w:eastAsia="Calibri" w:cs="Times New Roman"/>
          <w:b/>
          <w:color w:val="000000"/>
          <w:sz w:val="24"/>
          <w:szCs w:val="24"/>
          <w:lang w:eastAsia="lv-LV"/>
        </w:rPr>
      </w:pPr>
      <w:r>
        <w:rPr>
          <w:rFonts w:eastAsia="Calibri" w:cs="Times New Roman" w:ascii="Times New Roman" w:hAnsi="Times New Roman"/>
          <w:b/>
          <w:color w:val="000000"/>
          <w:sz w:val="24"/>
          <w:szCs w:val="24"/>
          <w:lang w:eastAsia="lv-LV"/>
        </w:rPr>
        <w:t xml:space="preserve">                                          </w:t>
      </w:r>
      <w:r>
        <w:rPr>
          <w:rFonts w:eastAsia="Calibri" w:cs="Times New Roman" w:ascii="Times New Roman" w:hAnsi="Times New Roman"/>
          <w:b/>
          <w:color w:val="000000"/>
          <w:sz w:val="24"/>
          <w:szCs w:val="24"/>
          <w:lang w:eastAsia="lv-LV"/>
        </w:rPr>
        <w:tab/>
        <w:t>Par kravas cisternas GAZ 53 pārdošanu</w:t>
      </w:r>
    </w:p>
    <w:p>
      <w:pPr>
        <w:pStyle w:val="Normal"/>
        <w:spacing w:lineRule="auto" w:line="264" w:before="0" w:after="11"/>
        <w:ind w:left="426" w:right="68"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Dobelē,             </w:t>
        <w:tab/>
        <w:tab/>
        <w:tab/>
        <w:tab/>
        <w:t xml:space="preserve">                      </w:t>
        <w:tab/>
        <w:tab/>
        <w:t xml:space="preserve">                 2024. gada __. ____</w:t>
      </w:r>
    </w:p>
    <w:p>
      <w:pPr>
        <w:pStyle w:val="Normal"/>
        <w:spacing w:lineRule="auto" w:line="264" w:before="0" w:after="11"/>
        <w:ind w:left="426" w:right="68"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overflowPunct w:val="true"/>
        <w:spacing w:lineRule="auto" w:line="240" w:before="0" w:after="0"/>
        <w:ind w:firstLine="720"/>
        <w:jc w:val="both"/>
        <w:rPr>
          <w:rFonts w:ascii="Times New Roman" w:hAnsi="Times New Roman" w:eastAsia="Calibri" w:cs="Times New Roman"/>
          <w:color w:val="000000"/>
          <w:sz w:val="24"/>
          <w:szCs w:val="24"/>
          <w:lang w:eastAsia="lv-LV"/>
        </w:rPr>
      </w:pPr>
      <w:r>
        <w:rPr>
          <w:rFonts w:eastAsia="Calibri" w:cs="Times New Roman" w:ascii="Times New Roman" w:hAnsi="Times New Roman"/>
          <w:b/>
          <w:color w:val="000000"/>
          <w:sz w:val="24"/>
          <w:szCs w:val="24"/>
          <w:lang w:eastAsia="lv-LV"/>
        </w:rPr>
        <w:t>SIA „DOBELES ENERĢIJA”</w:t>
      </w:r>
      <w:r>
        <w:rPr>
          <w:rFonts w:eastAsia="Calibri" w:cs="Times New Roman" w:ascii="Times New Roman" w:hAnsi="Times New Roman"/>
          <w:color w:val="000000"/>
          <w:sz w:val="24"/>
          <w:szCs w:val="24"/>
          <w:lang w:eastAsia="lv-LV"/>
        </w:rPr>
        <w:t xml:space="preserve">, reģ. Nr. </w:t>
      </w:r>
      <w:r>
        <w:rPr>
          <w:rFonts w:eastAsia="Calibri" w:cs="Times New Roman" w:ascii="Times New Roman" w:hAnsi="Times New Roman"/>
          <w:color w:val="000000"/>
          <w:kern w:val="2"/>
          <w:sz w:val="24"/>
          <w:szCs w:val="24"/>
          <w:lang w:val="lv-LV" w:eastAsia="lv-LV" w:bidi="hi-IN"/>
        </w:rPr>
        <w:t>45103002039</w:t>
      </w:r>
      <w:r>
        <w:rPr>
          <w:rFonts w:eastAsia="Calibri" w:cs="Times New Roman" w:ascii="Times New Roman" w:hAnsi="Times New Roman"/>
          <w:color w:val="000000"/>
          <w:sz w:val="24"/>
          <w:szCs w:val="24"/>
          <w:lang w:eastAsia="lv-LV"/>
        </w:rPr>
        <w:t xml:space="preserve"> , kuru uz Statūtu pamata pārstāv tās valdes prieksšēdētājs Ģirts Ozoliņš, turpmāk tekstā – PĀRDEVĒJS, no vienas puses, un </w:t>
      </w:r>
    </w:p>
    <w:p>
      <w:pPr>
        <w:pStyle w:val="Normal"/>
        <w:widowControl w:val="false"/>
        <w:overflowPunct w:val="true"/>
        <w:spacing w:lineRule="auto" w:line="240" w:before="0" w:after="0"/>
        <w:ind w:firstLine="720"/>
        <w:jc w:val="both"/>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_______________</w:t>
      </w:r>
      <w:r>
        <w:rPr>
          <w:rFonts w:eastAsia="Calibri" w:cs="Times New Roman" w:ascii="Times New Roman" w:hAnsi="Times New Roman"/>
          <w:b w:val="false"/>
          <w:bCs w:val="false"/>
          <w:color w:val="000000"/>
          <w:sz w:val="24"/>
          <w:szCs w:val="24"/>
          <w:lang w:eastAsia="lv-LV"/>
        </w:rPr>
        <w:t>______________</w:t>
      </w:r>
      <w:r>
        <w:rPr>
          <w:rFonts w:eastAsia="Calibri" w:cs="Times New Roman" w:ascii="Times New Roman" w:hAnsi="Times New Roman"/>
          <w:color w:val="000000"/>
          <w:sz w:val="24"/>
          <w:szCs w:val="24"/>
          <w:lang w:eastAsia="lv-LV"/>
        </w:rPr>
        <w:t>, turpmāk tekstā – PIRCĒJS,  no otras puses,</w:t>
      </w:r>
    </w:p>
    <w:p>
      <w:pPr>
        <w:pStyle w:val="Normal"/>
        <w:widowControl w:val="false"/>
        <w:overflowPunct w:val="true"/>
        <w:spacing w:lineRule="auto" w:line="240" w:before="0" w:after="0"/>
        <w:ind w:firstLine="72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spacing w:lineRule="auto" w:line="240" w:before="0" w:after="0"/>
        <w:ind w:firstLine="720"/>
        <w:jc w:val="both"/>
        <w:rPr>
          <w:rFonts w:ascii="Times New Roman" w:hAnsi="Times New Roman" w:eastAsia="Calibri" w:cs="Times New Roman"/>
          <w:sz w:val="24"/>
          <w:szCs w:val="24"/>
        </w:rPr>
      </w:pPr>
      <w:r>
        <w:rPr>
          <w:rFonts w:eastAsia="Calibri" w:cs="Times New Roman" w:ascii="Times New Roman" w:hAnsi="Times New Roman"/>
          <w:sz w:val="24"/>
          <w:szCs w:val="24"/>
        </w:rPr>
        <w:t>abi kopā saukti Puses, savstarpēji vienojas un noslēdz šo līgumu, turpmāk tekstā – Līgums:</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LĪGUMA PRIEKŠMETS</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PĀRDEVĒJS pārdod un PIRCĒJS pērk</w:t>
      </w:r>
      <w:r>
        <w:rPr>
          <w:rFonts w:eastAsia="Calibri" w:cs="Times New Roman" w:ascii="Times New Roman" w:hAnsi="Times New Roman"/>
          <w:b/>
          <w:bCs/>
          <w:color w:val="000000"/>
          <w:sz w:val="24"/>
          <w:szCs w:val="24"/>
          <w:lang w:eastAsia="lv-LV"/>
        </w:rPr>
        <w:t xml:space="preserve"> kravas cisternu GAZ 53</w:t>
      </w:r>
      <w:r>
        <w:rPr>
          <w:rFonts w:eastAsia="Calibri" w:cs="Times New Roman" w:ascii="Times New Roman" w:hAnsi="Times New Roman"/>
          <w:color w:val="000000"/>
          <w:sz w:val="24"/>
          <w:szCs w:val="24"/>
          <w:lang w:eastAsia="lv-LV"/>
        </w:rPr>
        <w:t>,</w:t>
      </w:r>
      <w:r>
        <w:rPr>
          <w:rFonts w:eastAsia="Calibri" w:cs="Times New Roman" w:ascii="Times New Roman" w:hAnsi="Times New Roman"/>
          <w:b/>
          <w:bCs/>
          <w:color w:val="000000"/>
          <w:sz w:val="24"/>
          <w:szCs w:val="24"/>
          <w:lang w:eastAsia="lv-LV"/>
        </w:rPr>
        <w:t xml:space="preserve"> </w:t>
      </w:r>
      <w:r>
        <w:rPr>
          <w:rFonts w:eastAsia="Calibri" w:cs="Times New Roman" w:ascii="Times New Roman" w:hAnsi="Times New Roman"/>
          <w:color w:val="000000"/>
          <w:sz w:val="24"/>
          <w:szCs w:val="24"/>
          <w:lang w:eastAsia="lv-LV"/>
        </w:rPr>
        <w:t>turpmāk tekstā –</w:t>
      </w:r>
      <w:r>
        <w:rPr>
          <w:rFonts w:eastAsia="Calibri" w:cs="Times New Roman" w:ascii="Times New Roman" w:hAnsi="Times New Roman"/>
          <w:i/>
          <w:iCs/>
          <w:color w:val="000000"/>
          <w:sz w:val="24"/>
          <w:szCs w:val="24"/>
          <w:lang w:eastAsia="lv-LV"/>
        </w:rPr>
        <w:t xml:space="preserve"> </w:t>
      </w:r>
      <w:r>
        <w:rPr>
          <w:rFonts w:eastAsia="Calibri" w:cs="Times New Roman" w:ascii="Times New Roman" w:hAnsi="Times New Roman"/>
          <w:color w:val="000000"/>
          <w:sz w:val="24"/>
          <w:szCs w:val="24"/>
          <w:lang w:eastAsia="lv-LV"/>
        </w:rPr>
        <w:t>PRECE, kura iegādes tiesības PIRCĒJS ieguvis saskaņā ar</w:t>
      </w:r>
      <w:r>
        <w:rPr>
          <w:rFonts w:eastAsia="Calibri" w:cs="Times New Roman" w:ascii="Times New Roman" w:hAnsi="Times New Roman"/>
          <w:i/>
          <w:iCs/>
          <w:color w:val="000000"/>
          <w:sz w:val="24"/>
          <w:szCs w:val="24"/>
          <w:lang w:eastAsia="lv-LV"/>
        </w:rPr>
        <w:t xml:space="preserve"> </w:t>
      </w:r>
      <w:r>
        <w:rPr>
          <w:rFonts w:eastAsia="Calibri" w:cs="Times New Roman" w:ascii="Times New Roman" w:hAnsi="Times New Roman"/>
          <w:color w:val="000000"/>
          <w:sz w:val="24"/>
          <w:szCs w:val="24"/>
          <w:lang w:eastAsia="lv-LV"/>
        </w:rPr>
        <w:t xml:space="preserve">PĀRDEVĒJA  </w:t>
      </w:r>
      <w:r>
        <w:rPr>
          <w:rFonts w:eastAsia="Calibri" w:cs="Times New Roman" w:ascii="Times New Roman" w:hAnsi="Times New Roman"/>
          <w:b/>
          <w:bCs/>
          <w:color w:val="000000"/>
          <w:sz w:val="24"/>
          <w:szCs w:val="24"/>
          <w:lang w:eastAsia="lv-LV"/>
        </w:rPr>
        <w:t>kravas cisterna GAZ 53</w:t>
      </w:r>
      <w:r>
        <w:rPr>
          <w:rFonts w:eastAsia="Calibri" w:cs="Times New Roman" w:ascii="Times New Roman" w:hAnsi="Times New Roman"/>
          <w:color w:val="000000"/>
          <w:sz w:val="24"/>
          <w:szCs w:val="24"/>
          <w:shd w:fill="auto" w:val="clear"/>
          <w:lang w:eastAsia="lv-LV"/>
        </w:rPr>
        <w:t>, valsts reģ.nr. BZ 8025, iz</w:t>
      </w:r>
      <w:r>
        <w:rPr>
          <w:rFonts w:eastAsia="Calibri" w:cs="Times New Roman" w:ascii="Times New Roman" w:hAnsi="Times New Roman"/>
          <w:color w:val="000000"/>
          <w:sz w:val="24"/>
          <w:szCs w:val="24"/>
          <w:lang w:eastAsia="lv-LV"/>
        </w:rPr>
        <w:t xml:space="preserve">soles komisijas 2024. gada __._______ lēmumu, turpmāk tekstā – izsole, rezultātiem. </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SAMAKSAS KĀRTĪBA</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PRECES pirkuma maksa ir ___________EUR (________________</w:t>
      </w:r>
      <w:r>
        <w:rPr>
          <w:rFonts w:eastAsia="Calibri" w:cs="Times New Roman" w:ascii="Times New Roman" w:hAnsi="Times New Roman"/>
          <w:i/>
          <w:color w:val="000000"/>
          <w:sz w:val="24"/>
          <w:szCs w:val="24"/>
          <w:lang w:eastAsia="lv-LV"/>
        </w:rPr>
        <w:t>euro</w:t>
      </w:r>
      <w:r>
        <w:rPr>
          <w:rFonts w:eastAsia="Calibri" w:cs="Times New Roman" w:ascii="Times New Roman" w:hAnsi="Times New Roman"/>
          <w:color w:val="000000"/>
          <w:sz w:val="24"/>
          <w:szCs w:val="24"/>
          <w:lang w:eastAsia="lv-LV"/>
        </w:rPr>
        <w:t xml:space="preserve"> 00 centi), tai skaitā pievienotās vērtības nodoklis.    </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Noslēdzot šo Līgumu, P</w:t>
      </w:r>
      <w:r>
        <w:rPr>
          <w:rFonts w:eastAsia="Calibri" w:cs="Times New Roman" w:ascii="Times New Roman" w:hAnsi="Times New Roman"/>
          <w:color w:val="000000"/>
          <w:sz w:val="24"/>
          <w:szCs w:val="24"/>
          <w:shd w:fill="auto" w:val="clear"/>
          <w:lang w:eastAsia="lv-LV"/>
        </w:rPr>
        <w:t xml:space="preserve">USES apliecina, ka līdz Līguma noslēgšanai PIRCĒJS ir samaksājis PĀRDEVĒJAM Līguma 2.1. punktā minēto </w:t>
      </w:r>
      <w:r>
        <w:rPr>
          <w:rFonts w:eastAsia="Calibri" w:cs="Times New Roman" w:ascii="Times New Roman" w:hAnsi="Times New Roman"/>
          <w:color w:val="000000"/>
          <w:sz w:val="24"/>
          <w:szCs w:val="24"/>
          <w:lang w:eastAsia="lv-LV"/>
        </w:rPr>
        <w:t>PRECES pirkuma maksu.</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tabs>
          <w:tab w:val="clear" w:pos="709"/>
          <w:tab w:val="left" w:pos="449" w:leader="none"/>
        </w:tabs>
        <w:overflowPunct w:val="true"/>
        <w:spacing w:lineRule="auto" w:line="240" w:before="0" w:after="0"/>
        <w:ind w:left="1977" w:right="67" w:hanging="360"/>
        <w:jc w:val="center"/>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 xml:space="preserve">  </w:t>
      </w:r>
      <w:r>
        <w:rPr>
          <w:rFonts w:eastAsia="Calibri" w:cs="Times New Roman" w:ascii="Times New Roman" w:hAnsi="Times New Roman"/>
          <w:b/>
          <w:bCs/>
          <w:color w:val="000000"/>
          <w:sz w:val="24"/>
          <w:szCs w:val="24"/>
          <w:lang w:eastAsia="lv-LV"/>
        </w:rPr>
        <w:t>PRECES NODOŠANAS UN PIEŅEMŠANAS KĀRTĪBA</w:t>
      </w:r>
    </w:p>
    <w:p>
      <w:pPr>
        <w:pStyle w:val="Normal"/>
        <w:spacing w:lineRule="auto" w:line="240" w:before="0" w:after="11"/>
        <w:ind w:left="426" w:right="67"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3.1. PRECE uzskatāma par nodotu PIRCĒJAM ar dienu, kad PUSES vai to pilnvarotie pārstāvji ir parakstījuši pieņemšanas-nodošanas aktu un PRECE Līgumā noteiktajā kārtībā ir reģistrēta uz PIRCĒJA vārda Ceļu satiksmes drošības direkcijā, turpmāk tekstā saukts – CSDD.     </w:t>
      </w:r>
    </w:p>
    <w:p>
      <w:pPr>
        <w:pStyle w:val="Normal"/>
        <w:spacing w:lineRule="auto" w:line="240" w:before="0" w:after="0"/>
        <w:ind w:left="426" w:hanging="426"/>
        <w:jc w:val="both"/>
        <w:rPr>
          <w:rFonts w:ascii="Times New Roman" w:hAnsi="Times New Roman" w:eastAsia="Times New Roman" w:cs="Times New Roman"/>
          <w:bCs/>
          <w:color w:val="000000"/>
          <w:sz w:val="24"/>
          <w:szCs w:val="24"/>
        </w:rPr>
      </w:pPr>
      <w:r>
        <w:rPr>
          <w:rFonts w:eastAsia="Times New Roman" w:cs="Times New Roman" w:ascii="Times New Roman" w:hAnsi="Times New Roman"/>
          <w:color w:val="000000"/>
          <w:sz w:val="24"/>
          <w:szCs w:val="24"/>
        </w:rPr>
        <w:t xml:space="preserve">3.2. Visi nodokļi, nodevas un izmaksas, kas saistītas ar PRECES reģistrēšanu CSDD PIRCĒJS pilnā apmērā uzņemas uz sevis. Šajā Līguma punktā noteiktās darbības PIRCĒJS izpilda tajā pašā dienā, kad PUSES vai to pilnvaroti pārstāvji ir parakstījuši pieņemšanas – nodošanas aktu, kas noteikts Līguma 3.1.punktā. </w:t>
      </w:r>
    </w:p>
    <w:p>
      <w:pPr>
        <w:pStyle w:val="Normal"/>
        <w:widowControl w:val="false"/>
        <w:overflowPunct w:val="true"/>
        <w:spacing w:lineRule="auto" w:line="240" w:before="0" w:after="0"/>
        <w:ind w:left="426"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3.3. PĀRDEVĒJS nodod PRECI PIRCĒJAM (Kr,Valdemāra ielā 3a Dobelē, LV-3701), saskaņojot ar PĀRDEVĒJU konkrētu PRECES nodošanas laiku, bet ne ilgāk kā 3 (trīs) darba dienu laikā no Līguma parakstīšanas.</w:t>
      </w:r>
    </w:p>
    <w:p>
      <w:pPr>
        <w:pStyle w:val="Normal"/>
        <w:spacing w:lineRule="auto" w:line="240" w:before="0" w:after="11"/>
        <w:ind w:left="426" w:right="67"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3.4. PĀRDEVĒJS pieņemšanas - nodošanas aktu sagatavo un PIRCĒJAM iesniedz līdz ar Līguma 3.3.punktā noteiktā laika saskaņošanu.          </w:t>
      </w:r>
    </w:p>
    <w:p>
      <w:pPr>
        <w:pStyle w:val="Normal"/>
        <w:widowControl w:val="false"/>
        <w:overflowPunct w:val="true"/>
        <w:spacing w:lineRule="auto" w:line="240" w:before="0" w:after="0"/>
        <w:ind w:left="426"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3.5. PIRCĒJS apliecina, ka viņš ir iepazinies ar PRECES stāvokli dabā. PIRCĒJAM ir zināms PRECES  faktiskais, tiesiskais un tehniskais stāvoklis, un saistībā ar to nav nekādu iebildumu un pretenziju pret PĀRDEVĒJU.         </w:t>
      </w:r>
    </w:p>
    <w:p>
      <w:pPr>
        <w:pStyle w:val="Normal"/>
        <w:widowControl w:val="false"/>
        <w:overflowPunct w:val="true"/>
        <w:spacing w:lineRule="auto" w:line="240" w:before="0" w:after="0"/>
        <w:ind w:left="360" w:hanging="36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PUŠU ATBILDĪBA</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Ja PIRCĒJS kavē Līguma 3.3. punktā minēto termiņu, PIRCĒJS maksā PĀRDEVĒJAM līgumsodu 0,1% (nulle komats viena procenta) apmērā no PRECES nosolītās cenas par katru kavējuma dienu.</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Ja PĀRDEVĒJS kavē Līguma 3.3. punktā minēto termiņu, PĀRDEVĒJS maksā PIRCĒJAM līgumsodu 0,1% (nulle komats viena procenta) apmērā no PRECES nosolītās cenas par katru kavējuma dienu. </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Līgumsoda samaksa neatbrīvo PIRCĒJU no saistību izpildes saskaņā ar Līguma noteikumiem. </w:t>
      </w:r>
      <w:bookmarkStart w:id="0" w:name="page25"/>
      <w:bookmarkEnd w:id="0"/>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Ja nokavēta kāda Līgumā noteikto saistību izpilde, līgumsods aprēķināms par periodu, kas sākas nākamajā kalendārajā dienā pēc Līgumā noteiktā saistību izpildes termiņa un ietver dienu, kurā saistības izpildītas.</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PIRCĒJS atlīdzina PĀRDEVĒJAM visus PIRCĒJA vainas dēļ nodarītos zaudējumus.</w:t>
      </w:r>
    </w:p>
    <w:p>
      <w:pPr>
        <w:pStyle w:val="Normal"/>
        <w:widowControl w:val="false"/>
        <w:numPr>
          <w:ilvl w:val="1"/>
          <w:numId w:val="7"/>
        </w:numPr>
        <w:overflowPunct w:val="true"/>
        <w:spacing w:lineRule="auto" w:line="240" w:before="0" w:after="0"/>
        <w:ind w:left="426" w:right="67"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PĀRDĒVĒJS nav atbildīgs par PRECES trūkumiem. </w:t>
      </w:r>
    </w:p>
    <w:p>
      <w:pPr>
        <w:pStyle w:val="Normal"/>
        <w:widowControl w:val="false"/>
        <w:overflowPunct w:val="true"/>
        <w:spacing w:lineRule="auto" w:line="240" w:before="0" w:after="0"/>
        <w:ind w:left="792" w:hanging="0"/>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overflowPunct w:val="true"/>
        <w:spacing w:lineRule="auto" w:line="240" w:before="0" w:after="0"/>
        <w:ind w:left="792" w:hanging="0"/>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tabs>
          <w:tab w:val="clear" w:pos="709"/>
          <w:tab w:val="left" w:pos="466" w:leader="none"/>
        </w:tabs>
        <w:overflowPunct w:val="true"/>
        <w:spacing w:lineRule="auto" w:line="240" w:before="0" w:after="0"/>
        <w:ind w:left="2" w:right="67" w:hanging="360"/>
        <w:jc w:val="center"/>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NEPĀRVARAMA VARA</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PUSES tiek atbrīvotas no atbildības par Līguma saistību nepildīšanu nepārvaramas varas vai ārkārtēju apstākļu dēļ, kurus attiecīgā PUSE (vai abas PUSES) nevarēja ne paredzēt, ne novērst, ne ietekmēt un par kuru ražošanos PUSES nav atbildīgas.</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Katra no PUSĒM, kuru Līguma ietvaros ietekmē nepārvaramas varas apstākļi, nekavējoties par to informē otru PUSI.</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Ja kāda no PUSĒM, kuras rīcību ietekmē nepārvarama vara, bez objektīva iemesla neinformē otru PUSI par nepārvaramas varas apstākļu iestāšanos piecu darbdienu laikā, attiecīgā PUSE netiek atbrīvota no Līguma saistību izpildes.</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Ja nepārvaramas varas apstākļi turpinās ilgāk nekā 30 (trīsdesmit) kalendārās dienas, PUSES kopīgi risina jautājumu par Līguma turpmāko izpildi vai izbeigšanu. Līguma izbeigšanas gadījumā, kuras pamats ir nepārvarama vara, nevienai no PUSĒM nav tiesību prasīt zaudējumu atlīdzību.</w:t>
      </w:r>
    </w:p>
    <w:p>
      <w:pPr>
        <w:pStyle w:val="Normal"/>
        <w:widowControl w:val="false"/>
        <w:overflowPunct w:val="true"/>
        <w:spacing w:lineRule="auto" w:line="240" w:before="0" w:after="0"/>
        <w:jc w:val="both"/>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NOBEIGUMA NOTEIKUMI</w:t>
      </w:r>
    </w:p>
    <w:p>
      <w:pPr>
        <w:pStyle w:val="Normal"/>
        <w:overflowPunct w:val="true"/>
        <w:spacing w:lineRule="auto" w:line="240" w:before="0" w:after="0"/>
        <w:ind w:left="426" w:hanging="426"/>
        <w:jc w:val="both"/>
        <w:textAlignment w:val="baseline"/>
        <w:rPr>
          <w:rFonts w:ascii="Times New Roman" w:hAnsi="Times New Roman" w:eastAsia="Calibri" w:cs="Times New Roman"/>
          <w:color w:val="000000"/>
          <w:sz w:val="24"/>
          <w:szCs w:val="24"/>
        </w:rPr>
      </w:pPr>
      <w:r>
        <w:rPr>
          <w:rFonts w:eastAsia="Times New Roman" w:cs="Times New Roman" w:ascii="Times New Roman" w:hAnsi="Times New Roman"/>
          <w:sz w:val="24"/>
          <w:szCs w:val="24"/>
        </w:rPr>
        <w:t>6.1.</w:t>
      </w:r>
      <w:r>
        <w:rPr>
          <w:rFonts w:eastAsia="Calibri" w:cs="Times New Roman" w:ascii="Times New Roman" w:hAnsi="Times New Roman"/>
          <w:sz w:val="24"/>
          <w:szCs w:val="24"/>
        </w:rPr>
        <w:t>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pPr>
        <w:pStyle w:val="Normal"/>
        <w:overflowPunct w:val="true"/>
        <w:spacing w:lineRule="auto" w:line="240" w:before="0" w:after="0"/>
        <w:ind w:left="426" w:hanging="426"/>
        <w:textAlignment w:val="baseline"/>
        <w:rPr>
          <w:rFonts w:ascii="Times New Roman" w:hAnsi="Times New Roman" w:eastAsia="Calibri" w:cs="Times New Roman"/>
          <w:color w:val="000000"/>
          <w:sz w:val="24"/>
          <w:szCs w:val="24"/>
        </w:rPr>
      </w:pPr>
      <w:r>
        <w:rPr>
          <w:rFonts w:eastAsia="Calibri" w:cs="Times New Roman" w:ascii="Times New Roman" w:hAnsi="Times New Roman"/>
          <w:sz w:val="24"/>
          <w:szCs w:val="24"/>
        </w:rPr>
        <w:t>6.2. Visa informācija, izņemot informāciju, kas ir publiski pieejama, ko Līguma darbības laikā sniedz PUSE tiek uzskatīta par neizpaužamu bez otras PUSES rakstveida piekrišanas.</w:t>
      </w:r>
    </w:p>
    <w:p>
      <w:pPr>
        <w:pStyle w:val="Normal"/>
        <w:overflowPunct w:val="true"/>
        <w:spacing w:lineRule="auto" w:line="240" w:before="0" w:after="0"/>
        <w:ind w:left="426" w:hanging="426"/>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 xml:space="preserve">6.3. Neviena no PUSĒM nav tiesīga nodot savas tiesības un saistības trešajām personām bez otras PUSES rakstveida piekrišanas. </w:t>
      </w:r>
    </w:p>
    <w:p>
      <w:pPr>
        <w:pStyle w:val="Normal"/>
        <w:overflowPunct w:val="true"/>
        <w:spacing w:lineRule="auto" w:line="240" w:before="0" w:after="0"/>
        <w:ind w:left="426" w:hanging="426"/>
        <w:textAlignment w:val="baseline"/>
        <w:rPr>
          <w:rFonts w:ascii="Times New Roman" w:hAnsi="Times New Roman" w:eastAsia="Calibri" w:cs="Times New Roman"/>
          <w:color w:val="000000"/>
          <w:sz w:val="24"/>
          <w:szCs w:val="24"/>
        </w:rPr>
      </w:pPr>
      <w:r>
        <w:rPr>
          <w:rFonts w:eastAsia="Calibri" w:cs="Times New Roman" w:ascii="Times New Roman" w:hAnsi="Times New Roman"/>
          <w:sz w:val="24"/>
          <w:szCs w:val="24"/>
        </w:rPr>
        <w:t xml:space="preserve">6.4. </w:t>
      </w:r>
      <w:r>
        <w:rPr>
          <w:rFonts w:eastAsia="Calibri" w:cs="Times New Roman" w:ascii="Times New Roman" w:hAnsi="Times New Roman"/>
          <w:color w:val="000000"/>
          <w:sz w:val="24"/>
          <w:szCs w:val="24"/>
          <w:lang w:eastAsia="lv-LV"/>
        </w:rPr>
        <w:t>Līgums sagatavots latviešu valodā uz 2 (divām) lapām, 2 (divos) identiskos eksemplāros, no kuriem viens glabājas pie PĀRDEVĒJA  bet otrs - pie PIRCĒJA</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PUŠU REKVIZĪTI</w:t>
      </w:r>
    </w:p>
    <w:tbl>
      <w:tblPr>
        <w:tblW w:w="8494" w:type="dxa"/>
        <w:jc w:val="left"/>
        <w:tblInd w:w="357" w:type="dxa"/>
        <w:tblLayout w:type="fixed"/>
        <w:tblCellMar>
          <w:top w:w="0" w:type="dxa"/>
          <w:left w:w="108" w:type="dxa"/>
          <w:bottom w:w="0" w:type="dxa"/>
          <w:right w:w="108" w:type="dxa"/>
        </w:tblCellMar>
        <w:tblLook w:firstRow="0" w:noVBand="0" w:lastRow="0" w:firstColumn="0" w:lastColumn="0" w:noHBand="0" w:val="0000"/>
      </w:tblPr>
      <w:tblGrid>
        <w:gridCol w:w="4538"/>
        <w:gridCol w:w="3955"/>
      </w:tblGrid>
      <w:tr>
        <w:trPr>
          <w:trHeight w:val="564" w:hRule="atLeast"/>
        </w:trPr>
        <w:tc>
          <w:tcPr>
            <w:tcW w:w="4538" w:type="dxa"/>
            <w:tcBorders/>
          </w:tcPr>
          <w:p>
            <w:pPr>
              <w:pStyle w:val="Normal"/>
              <w:widowControl w:val="false"/>
              <w:spacing w:lineRule="auto" w:line="240" w:before="0" w:after="0"/>
              <w:jc w:val="both"/>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r>
          </w:p>
          <w:p>
            <w:pPr>
              <w:pStyle w:val="Normal"/>
              <w:widowControl w:val="false"/>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b/>
                <w:sz w:val="24"/>
                <w:szCs w:val="24"/>
                <w:lang w:eastAsia="lv-LV"/>
              </w:rPr>
              <w:t>PĀRDEVĒJS:</w:t>
            </w:r>
          </w:p>
        </w:tc>
        <w:tc>
          <w:tcPr>
            <w:tcW w:w="3955" w:type="dxa"/>
            <w:tcBorders/>
          </w:tcPr>
          <w:p>
            <w:pPr>
              <w:pStyle w:val="Normal"/>
              <w:widowControl w:val="false"/>
              <w:spacing w:lineRule="auto" w:line="264" w:before="0" w:after="11"/>
              <w:ind w:left="1987" w:right="67" w:hanging="1975"/>
              <w:jc w:val="both"/>
              <w:rPr>
                <w:rFonts w:ascii="Times New Roman" w:hAnsi="Times New Roman" w:eastAsia="Calibri" w:cs="Times New Roman"/>
                <w:b/>
                <w:color w:val="000000"/>
                <w:lang w:eastAsia="lv-LV"/>
              </w:rPr>
            </w:pPr>
            <w:r>
              <w:rPr>
                <w:rFonts w:eastAsia="Calibri" w:cs="Times New Roman" w:ascii="Times New Roman" w:hAnsi="Times New Roman"/>
                <w:b/>
                <w:color w:val="000000"/>
                <w:lang w:eastAsia="lv-LV"/>
              </w:rPr>
            </w:r>
          </w:p>
          <w:p>
            <w:pPr>
              <w:pStyle w:val="Normal"/>
              <w:widowControl w:val="false"/>
              <w:spacing w:lineRule="auto" w:line="264" w:before="0" w:after="11"/>
              <w:ind w:left="1987" w:right="67" w:hanging="1975"/>
              <w:jc w:val="both"/>
              <w:rPr>
                <w:rFonts w:ascii="Times New Roman" w:hAnsi="Times New Roman" w:eastAsia="Calibri" w:cs="Times New Roman"/>
                <w:b/>
                <w:color w:val="000000"/>
                <w:lang w:eastAsia="lv-LV"/>
              </w:rPr>
            </w:pPr>
            <w:r>
              <w:rPr>
                <w:rFonts w:eastAsia="Calibri" w:cs="Times New Roman" w:ascii="Times New Roman" w:hAnsi="Times New Roman"/>
                <w:b/>
                <w:color w:val="000000"/>
                <w:lang w:eastAsia="lv-LV"/>
              </w:rPr>
              <w:t>PIRCĒJS:</w:t>
            </w:r>
          </w:p>
          <w:p>
            <w:pPr>
              <w:pStyle w:val="Normal"/>
              <w:widowControl w:val="false"/>
              <w:spacing w:lineRule="auto" w:line="264" w:before="0" w:after="11"/>
              <w:ind w:left="1987" w:right="67" w:hanging="10"/>
              <w:jc w:val="both"/>
              <w:rPr>
                <w:rFonts w:ascii="Times New Roman" w:hAnsi="Times New Roman" w:eastAsia="Calibri" w:cs="Times New Roman"/>
                <w:b/>
                <w:color w:val="000000"/>
                <w:lang w:eastAsia="lv-LV"/>
              </w:rPr>
            </w:pPr>
            <w:r>
              <w:rPr>
                <w:rFonts w:eastAsia="Calibri" w:cs="Times New Roman" w:ascii="Times New Roman" w:hAnsi="Times New Roman"/>
                <w:b/>
                <w:color w:val="000000"/>
                <w:lang w:eastAsia="lv-LV"/>
              </w:rPr>
            </w:r>
          </w:p>
        </w:tc>
      </w:tr>
      <w:tr>
        <w:trPr>
          <w:trHeight w:val="1094" w:hRule="atLeast"/>
        </w:trPr>
        <w:tc>
          <w:tcPr>
            <w:tcW w:w="4538" w:type="dxa"/>
            <w:tcBorders/>
          </w:tcPr>
          <w:p>
            <w:pPr>
              <w:pStyle w:val="Normal"/>
              <w:widowControl w:val="false"/>
              <w:spacing w:lineRule="auto" w:line="240" w:before="0" w:after="0"/>
              <w:ind w:right="67" w:hanging="0"/>
              <w:jc w:val="both"/>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SIA Dobeles enerģija</w:t>
            </w:r>
          </w:p>
          <w:p>
            <w:pPr>
              <w:pStyle w:val="Normal"/>
              <w:widowControl w:val="false"/>
              <w:spacing w:lineRule="auto" w:line="240" w:before="0" w:after="0"/>
              <w:ind w:right="67" w:hanging="0"/>
              <w:jc w:val="both"/>
              <w:rPr>
                <w:rFonts w:ascii="Times New Roman" w:hAnsi="Times New Roman" w:eastAsia="Calibri" w:cs="Times New Roman"/>
                <w:b w:val="false"/>
                <w:bCs w:val="false"/>
                <w:color w:val="000000"/>
                <w:sz w:val="24"/>
                <w:szCs w:val="24"/>
                <w:lang w:eastAsia="lv-LV"/>
              </w:rPr>
            </w:pPr>
            <w:r>
              <w:rPr>
                <w:rFonts w:eastAsia="Calibri" w:cs="Times New Roman" w:ascii="Times New Roman" w:hAnsi="Times New Roman"/>
                <w:b w:val="false"/>
                <w:bCs w:val="false"/>
                <w:color w:val="000000"/>
                <w:sz w:val="24"/>
                <w:szCs w:val="24"/>
                <w:lang w:eastAsia="lv-LV"/>
              </w:rPr>
              <w:t>Spodrības iela 4a, Dobele, Dobeles novads, LV-3701</w:t>
            </w:r>
          </w:p>
          <w:p>
            <w:pPr>
              <w:pStyle w:val="Normal"/>
              <w:widowControl w:val="false"/>
              <w:spacing w:lineRule="auto" w:line="240" w:before="0" w:after="0"/>
              <w:ind w:right="67" w:hanging="0"/>
              <w:jc w:val="both"/>
              <w:rPr>
                <w:rFonts w:ascii="Times New Roman" w:hAnsi="Times New Roman" w:eastAsia="Calibri" w:cs="Times New Roman"/>
                <w:b w:val="false"/>
                <w:bCs w:val="false"/>
                <w:color w:val="000000"/>
                <w:sz w:val="24"/>
                <w:szCs w:val="24"/>
                <w:lang w:eastAsia="lv-LV"/>
              </w:rPr>
            </w:pPr>
            <w:r>
              <w:rPr>
                <w:rFonts w:eastAsia="Calibri" w:cs="Times New Roman" w:ascii="Times New Roman" w:hAnsi="Times New Roman"/>
                <w:b w:val="false"/>
                <w:bCs w:val="false"/>
                <w:color w:val="000000"/>
                <w:sz w:val="24"/>
                <w:szCs w:val="24"/>
                <w:lang w:eastAsia="lv-LV"/>
              </w:rPr>
              <w:t>Reģ.Nr. 45103002039</w:t>
            </w:r>
          </w:p>
          <w:p>
            <w:pPr>
              <w:pStyle w:val="Normal"/>
              <w:widowControl w:val="false"/>
              <w:spacing w:lineRule="auto" w:line="240" w:before="0" w:after="0"/>
              <w:ind w:right="67" w:hanging="0"/>
              <w:jc w:val="both"/>
              <w:rPr>
                <w:rFonts w:ascii="Times New Roman" w:hAnsi="Times New Roman" w:eastAsia="Calibri" w:cs="Times New Roman"/>
                <w:b w:val="false"/>
                <w:bCs w:val="false"/>
                <w:color w:val="000000"/>
                <w:sz w:val="24"/>
                <w:szCs w:val="24"/>
                <w:lang w:eastAsia="lv-LV"/>
              </w:rPr>
            </w:pPr>
            <w:r>
              <w:rPr>
                <w:rFonts w:eastAsia="Calibri" w:cs="Times New Roman" w:ascii="Times New Roman" w:hAnsi="Times New Roman"/>
                <w:b w:val="false"/>
                <w:bCs w:val="false"/>
                <w:color w:val="000000"/>
                <w:sz w:val="24"/>
                <w:szCs w:val="24"/>
                <w:lang w:eastAsia="lv-LV"/>
              </w:rPr>
              <w:t>A/S SEB banka, UNLALV2X</w:t>
            </w:r>
          </w:p>
          <w:p>
            <w:pPr>
              <w:pStyle w:val="Normal"/>
              <w:widowControl w:val="false"/>
              <w:spacing w:lineRule="auto" w:line="240" w:before="0" w:after="0"/>
              <w:ind w:right="67" w:hanging="0"/>
              <w:jc w:val="both"/>
              <w:rPr>
                <w:rFonts w:ascii="Times New Roman" w:hAnsi="Times New Roman" w:eastAsia="Calibri" w:cs="Times New Roman"/>
                <w:b w:val="false"/>
                <w:bCs w:val="false"/>
                <w:color w:val="000000"/>
                <w:sz w:val="24"/>
                <w:szCs w:val="24"/>
                <w:lang w:eastAsia="lv-LV"/>
              </w:rPr>
            </w:pPr>
            <w:r>
              <w:rPr>
                <w:rFonts w:eastAsia="Calibri" w:cs="Times New Roman" w:ascii="Times New Roman" w:hAnsi="Times New Roman"/>
                <w:b w:val="false"/>
                <w:bCs w:val="false"/>
                <w:color w:val="000000"/>
                <w:sz w:val="24"/>
                <w:szCs w:val="24"/>
                <w:lang w:eastAsia="lv-LV"/>
              </w:rPr>
              <w:t>LV13UNLA0006000206201</w:t>
            </w:r>
          </w:p>
          <w:p>
            <w:pPr>
              <w:pStyle w:val="Normal"/>
              <w:widowControl w:val="false"/>
              <w:spacing w:lineRule="auto" w:line="240" w:before="0" w:after="0"/>
              <w:ind w:right="67" w:hanging="0"/>
              <w:jc w:val="both"/>
              <w:rPr>
                <w:rFonts w:ascii="Times New Roman" w:hAnsi="Times New Roman" w:eastAsia="Calibri" w:cs="Times New Roman"/>
                <w:b w:val="false"/>
                <w:bCs w:val="false"/>
                <w:color w:val="000000"/>
                <w:sz w:val="24"/>
                <w:szCs w:val="24"/>
                <w:lang w:eastAsia="lv-LV"/>
              </w:rPr>
            </w:pPr>
            <w:r>
              <w:rPr>
                <w:rFonts w:eastAsia="Calibri" w:cs="Times New Roman" w:ascii="Times New Roman" w:hAnsi="Times New Roman"/>
                <w:b w:val="false"/>
                <w:bCs w:val="false"/>
                <w:color w:val="000000"/>
                <w:sz w:val="24"/>
                <w:szCs w:val="24"/>
                <w:lang w:eastAsia="lv-LV"/>
              </w:rPr>
            </w:r>
          </w:p>
          <w:p>
            <w:pPr>
              <w:pStyle w:val="Normal"/>
              <w:widowControl w:val="false"/>
              <w:spacing w:lineRule="auto" w:line="240" w:before="0" w:after="0"/>
              <w:ind w:right="67" w:hanging="0"/>
              <w:jc w:val="both"/>
              <w:rPr>
                <w:rFonts w:ascii="Times New Roman" w:hAnsi="Times New Roman" w:eastAsia="Calibri" w:cs="Times New Roman"/>
                <w:b w:val="false"/>
                <w:bCs w:val="false"/>
                <w:color w:val="000000"/>
                <w:sz w:val="24"/>
                <w:szCs w:val="24"/>
                <w:lang w:eastAsia="lv-LV"/>
              </w:rPr>
            </w:pPr>
            <w:r>
              <w:rPr>
                <w:rFonts w:eastAsia="Calibri" w:cs="Times New Roman" w:ascii="Times New Roman" w:hAnsi="Times New Roman"/>
                <w:b w:val="false"/>
                <w:bCs w:val="false"/>
                <w:color w:val="000000"/>
                <w:sz w:val="24"/>
                <w:szCs w:val="24"/>
                <w:lang w:eastAsia="lv-LV"/>
              </w:rPr>
            </w:r>
          </w:p>
          <w:p>
            <w:pPr>
              <w:pStyle w:val="Normal"/>
              <w:widowControl w:val="false"/>
              <w:spacing w:lineRule="auto" w:line="240" w:before="0" w:after="0"/>
              <w:ind w:right="67" w:hanging="0"/>
              <w:jc w:val="both"/>
              <w:rPr>
                <w:rFonts w:ascii="Times New Roman" w:hAnsi="Times New Roman" w:eastAsia="Calibri" w:cs="Times New Roman"/>
                <w:b w:val="false"/>
                <w:bCs w:val="false"/>
                <w:color w:val="000000"/>
                <w:sz w:val="24"/>
                <w:szCs w:val="24"/>
                <w:lang w:eastAsia="lv-LV"/>
              </w:rPr>
            </w:pPr>
            <w:r>
              <w:rPr>
                <w:rFonts w:eastAsia="Calibri" w:cs="Times New Roman" w:ascii="Times New Roman" w:hAnsi="Times New Roman"/>
                <w:b w:val="false"/>
                <w:bCs w:val="false"/>
                <w:color w:val="000000"/>
                <w:sz w:val="24"/>
                <w:szCs w:val="24"/>
                <w:lang w:eastAsia="lv-LV"/>
              </w:rPr>
              <w:t>_______________________</w:t>
            </w:r>
          </w:p>
          <w:p>
            <w:pPr>
              <w:pStyle w:val="Normal"/>
              <w:widowControl w:val="false"/>
              <w:spacing w:lineRule="auto" w:line="240" w:before="0" w:after="0"/>
              <w:ind w:right="67" w:hanging="0"/>
              <w:jc w:val="both"/>
              <w:rPr>
                <w:rFonts w:ascii="Times New Roman" w:hAnsi="Times New Roman" w:eastAsia="Calibri" w:cs="Times New Roman"/>
                <w:b w:val="false"/>
                <w:bCs w:val="false"/>
                <w:color w:val="000000"/>
                <w:sz w:val="24"/>
                <w:szCs w:val="24"/>
                <w:lang w:eastAsia="lv-LV"/>
              </w:rPr>
            </w:pPr>
            <w:r>
              <w:rPr>
                <w:rFonts w:eastAsia="Calibri" w:cs="Times New Roman" w:ascii="Times New Roman" w:hAnsi="Times New Roman"/>
                <w:b w:val="false"/>
                <w:bCs w:val="false"/>
                <w:color w:val="000000"/>
                <w:sz w:val="24"/>
                <w:szCs w:val="24"/>
                <w:lang w:eastAsia="lv-LV"/>
              </w:rPr>
              <w:t>Ģirts Ozoliņš</w:t>
            </w:r>
          </w:p>
        </w:tc>
        <w:tc>
          <w:tcPr>
            <w:tcW w:w="3955" w:type="dxa"/>
            <w:tcBorders/>
          </w:tcPr>
          <w:p>
            <w:pPr>
              <w:pStyle w:val="Normal"/>
              <w:widowControl w:val="false"/>
              <w:spacing w:lineRule="auto" w:line="264" w:before="0" w:after="11"/>
              <w:ind w:right="67" w:hanging="0"/>
              <w:jc w:val="both"/>
              <w:rPr>
                <w:rFonts w:ascii="Times New Roman" w:hAnsi="Times New Roman" w:eastAsia="Calibri" w:cs="Times New Roman"/>
                <w:b/>
                <w:bCs/>
                <w:color w:val="000000"/>
                <w:lang w:eastAsia="lv-LV"/>
              </w:rPr>
            </w:pPr>
            <w:r>
              <w:rPr>
                <w:rFonts w:eastAsia="Calibri" w:cs="Times New Roman" w:ascii="Times New Roman" w:hAnsi="Times New Roman"/>
                <w:b/>
                <w:bCs/>
                <w:color w:val="000000"/>
                <w:lang w:eastAsia="lv-LV"/>
              </w:rPr>
            </w:r>
          </w:p>
          <w:p>
            <w:pPr>
              <w:pStyle w:val="Normal"/>
              <w:widowControl w:val="false"/>
              <w:spacing w:lineRule="auto" w:line="264" w:before="0" w:after="11"/>
              <w:ind w:right="67" w:hanging="0"/>
              <w:jc w:val="both"/>
              <w:rPr>
                <w:rFonts w:ascii="Times New Roman" w:hAnsi="Times New Roman" w:eastAsia="Calibri" w:cs="Times New Roman"/>
                <w:b/>
                <w:bCs/>
                <w:color w:val="000000"/>
                <w:lang w:eastAsia="lv-LV"/>
              </w:rPr>
            </w:pPr>
            <w:r>
              <w:rPr>
                <w:rFonts w:eastAsia="Calibri" w:cs="Times New Roman" w:ascii="Times New Roman" w:hAnsi="Times New Roman"/>
                <w:b/>
                <w:bCs/>
                <w:color w:val="000000"/>
                <w:lang w:eastAsia="lv-LV"/>
              </w:rPr>
            </w:r>
          </w:p>
          <w:p>
            <w:pPr>
              <w:pStyle w:val="Normal"/>
              <w:widowControl w:val="false"/>
              <w:spacing w:lineRule="auto" w:line="264" w:before="0" w:after="11"/>
              <w:ind w:right="67" w:hanging="0"/>
              <w:jc w:val="both"/>
              <w:rPr>
                <w:rFonts w:ascii="Times New Roman" w:hAnsi="Times New Roman" w:eastAsia="Calibri" w:cs="Times New Roman"/>
                <w:b/>
                <w:bCs/>
                <w:color w:val="000000"/>
                <w:lang w:eastAsia="lv-LV"/>
              </w:rPr>
            </w:pPr>
            <w:r>
              <w:rPr>
                <w:rFonts w:eastAsia="Calibri" w:cs="Times New Roman" w:ascii="Times New Roman" w:hAnsi="Times New Roman"/>
                <w:b/>
                <w:bCs/>
                <w:color w:val="000000"/>
                <w:lang w:eastAsia="lv-LV"/>
              </w:rPr>
            </w:r>
          </w:p>
          <w:p>
            <w:pPr>
              <w:pStyle w:val="Normal"/>
              <w:widowControl w:val="false"/>
              <w:spacing w:lineRule="auto" w:line="264" w:before="0" w:after="11"/>
              <w:ind w:right="67" w:hanging="0"/>
              <w:jc w:val="both"/>
              <w:rPr>
                <w:rFonts w:ascii="Times New Roman" w:hAnsi="Times New Roman" w:eastAsia="Calibri" w:cs="Times New Roman"/>
                <w:b/>
                <w:bCs/>
                <w:color w:val="000000"/>
                <w:lang w:eastAsia="lv-LV"/>
              </w:rPr>
            </w:pPr>
            <w:r>
              <w:rPr>
                <w:rFonts w:eastAsia="Calibri" w:cs="Times New Roman" w:ascii="Times New Roman" w:hAnsi="Times New Roman"/>
                <w:b/>
                <w:bCs/>
                <w:color w:val="000000"/>
                <w:lang w:eastAsia="lv-LV"/>
              </w:rPr>
            </w:r>
          </w:p>
          <w:p>
            <w:pPr>
              <w:pStyle w:val="Normal"/>
              <w:widowControl w:val="false"/>
              <w:spacing w:lineRule="auto" w:line="264" w:before="0" w:after="11"/>
              <w:ind w:right="67" w:hanging="0"/>
              <w:jc w:val="both"/>
              <w:rPr>
                <w:rFonts w:ascii="Times New Roman" w:hAnsi="Times New Roman" w:eastAsia="Calibri" w:cs="Times New Roman"/>
                <w:b/>
                <w:bCs/>
                <w:color w:val="000000"/>
                <w:lang w:eastAsia="lv-LV"/>
              </w:rPr>
            </w:pPr>
            <w:r>
              <w:rPr>
                <w:rFonts w:eastAsia="Calibri" w:cs="Times New Roman" w:ascii="Times New Roman" w:hAnsi="Times New Roman"/>
                <w:b/>
                <w:bCs/>
                <w:color w:val="000000"/>
                <w:lang w:eastAsia="lv-LV"/>
              </w:rPr>
            </w:r>
          </w:p>
          <w:p>
            <w:pPr>
              <w:pStyle w:val="Normal"/>
              <w:widowControl w:val="false"/>
              <w:spacing w:lineRule="auto" w:line="264" w:before="0" w:after="11"/>
              <w:ind w:right="67" w:hanging="0"/>
              <w:jc w:val="both"/>
              <w:rPr>
                <w:rFonts w:ascii="Times New Roman" w:hAnsi="Times New Roman" w:eastAsia="Calibri" w:cs="Times New Roman"/>
                <w:b/>
                <w:bCs/>
                <w:color w:val="000000"/>
                <w:lang w:eastAsia="lv-LV"/>
              </w:rPr>
            </w:pPr>
            <w:r>
              <w:rPr>
                <w:rFonts w:eastAsia="Calibri" w:cs="Times New Roman" w:ascii="Times New Roman" w:hAnsi="Times New Roman"/>
                <w:b/>
                <w:bCs/>
                <w:color w:val="000000"/>
                <w:lang w:eastAsia="lv-LV"/>
              </w:rPr>
            </w:r>
          </w:p>
          <w:p>
            <w:pPr>
              <w:pStyle w:val="Normal"/>
              <w:widowControl w:val="false"/>
              <w:spacing w:lineRule="auto" w:line="264" w:before="0" w:after="11"/>
              <w:ind w:right="67" w:hanging="0"/>
              <w:jc w:val="both"/>
              <w:rPr>
                <w:rFonts w:ascii="Times New Roman" w:hAnsi="Times New Roman" w:eastAsia="Calibri" w:cs="Times New Roman"/>
                <w:color w:val="000000"/>
                <w:lang w:eastAsia="lv-LV"/>
              </w:rPr>
            </w:pPr>
            <w:r>
              <w:rPr>
                <w:rFonts w:eastAsia="Calibri" w:cs="Times New Roman" w:ascii="Times New Roman" w:hAnsi="Times New Roman"/>
                <w:color w:val="000000"/>
                <w:lang w:eastAsia="lv-LV"/>
              </w:rPr>
            </w:r>
          </w:p>
          <w:p>
            <w:pPr>
              <w:pStyle w:val="Normal"/>
              <w:widowControl w:val="false"/>
              <w:spacing w:lineRule="auto" w:line="264" w:before="0" w:after="11"/>
              <w:ind w:right="67" w:hanging="0"/>
              <w:jc w:val="both"/>
              <w:rPr>
                <w:rFonts w:ascii="Times New Roman" w:hAnsi="Times New Roman" w:eastAsia="Calibri" w:cs="Times New Roman"/>
                <w:color w:val="000000"/>
                <w:lang w:eastAsia="lv-LV"/>
              </w:rPr>
            </w:pPr>
            <w:r>
              <w:rPr>
                <w:rFonts w:eastAsia="Calibri" w:cs="Times New Roman" w:ascii="Times New Roman" w:hAnsi="Times New Roman"/>
                <w:color w:val="000000"/>
                <w:lang w:eastAsia="lv-LV"/>
              </w:rPr>
              <w:t>___________________</w:t>
            </w:r>
          </w:p>
          <w:p>
            <w:pPr>
              <w:pStyle w:val="Normal"/>
              <w:widowControl w:val="false"/>
              <w:spacing w:lineRule="auto" w:line="264" w:before="0" w:after="11"/>
              <w:ind w:right="67" w:hanging="0"/>
              <w:jc w:val="both"/>
              <w:rPr>
                <w:rFonts w:ascii="Times New Roman" w:hAnsi="Times New Roman" w:eastAsia="Calibri" w:cs="Times New Roman"/>
                <w:color w:val="000000"/>
                <w:lang w:eastAsia="lv-LV"/>
              </w:rPr>
            </w:pPr>
            <w:r>
              <w:rPr>
                <w:rFonts w:eastAsia="Calibri" w:cs="Times New Roman" w:ascii="Times New Roman" w:hAnsi="Times New Roman"/>
                <w:color w:val="000000"/>
                <w:lang w:eastAsia="lv-LV"/>
              </w:rPr>
              <w:t>/____________/</w:t>
            </w:r>
          </w:p>
          <w:p>
            <w:pPr>
              <w:pStyle w:val="Normal"/>
              <w:widowControl w:val="false"/>
              <w:spacing w:lineRule="auto" w:line="264" w:before="0" w:after="11"/>
              <w:ind w:left="1987" w:right="67" w:hanging="10"/>
              <w:jc w:val="both"/>
              <w:rPr>
                <w:rFonts w:ascii="Times New Roman" w:hAnsi="Times New Roman" w:eastAsia="Calibri" w:cs="Times New Roman"/>
                <w:color w:val="000000"/>
                <w:lang w:eastAsia="lv-LV"/>
              </w:rPr>
            </w:pPr>
            <w:r>
              <w:rPr>
                <w:rFonts w:eastAsia="Calibri" w:cs="Times New Roman" w:ascii="Times New Roman" w:hAnsi="Times New Roman"/>
                <w:color w:val="000000"/>
                <w:lang w:eastAsia="lv-LV"/>
              </w:rPr>
            </w:r>
          </w:p>
        </w:tc>
      </w:tr>
    </w:tbl>
    <w:p>
      <w:pPr>
        <w:pStyle w:val="Normal"/>
        <w:tabs>
          <w:tab w:val="clear" w:pos="709"/>
          <w:tab w:val="left" w:pos="851" w:leader="none"/>
        </w:tabs>
        <w:spacing w:lineRule="auto" w:line="264" w:before="0" w:after="11"/>
        <w:ind w:right="67" w:hanging="0"/>
        <w:jc w:val="both"/>
        <w:rPr>
          <w:rFonts w:ascii="Times New Roman" w:hAnsi="Times New Roman" w:eastAsia="SimSun" w:cs="Times New Roman"/>
          <w:color w:val="000000"/>
          <w:sz w:val="24"/>
          <w:szCs w:val="24"/>
          <w:lang w:eastAsia="lv-LV"/>
        </w:rPr>
      </w:pPr>
      <w:r>
        <w:rPr/>
      </w:r>
      <w:bookmarkStart w:id="1" w:name="page26"/>
      <w:bookmarkStart w:id="2" w:name="page26"/>
      <w:bookmarkEnd w:id="2"/>
    </w:p>
    <w:sectPr>
      <w:footerReference w:type="default" r:id="rId2"/>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Verdana">
    <w:charset w:val="00"/>
    <w:family w:val="roman"/>
    <w:pitch w:val="variable"/>
  </w:font>
  <w:font w:name="Liberation Sans">
    <w:altName w:val="Arial"/>
    <w:charset w:val="00"/>
    <w:family w:val="roman"/>
    <w:pitch w:val="variable"/>
  </w:font>
  <w:font w:name="BaltTime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val="false"/>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8"/>
    <w:lvlOverride w:ilvl="0">
      <w:startOverride w:val="1"/>
    </w:lvlOverride>
  </w:num>
  <w:num w:numId="14">
    <w:abstractNumId w:val="8"/>
  </w:num>
  <w:num w:numId="15">
    <w:abstractNumId w:val="8"/>
    <w:lvlOverride w:ilvl="0">
      <w:startOverride w:val="1"/>
    </w:lvlOverride>
  </w:num>
  <w:num w:numId="16">
    <w:abstractNumId w:val="8"/>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lv-LV" w:eastAsia="zh-CN" w:bidi="hi-IN"/>
    </w:rPr>
  </w:style>
  <w:style w:type="paragraph" w:styleId="Heading1">
    <w:name w:val="Heading 1"/>
    <w:basedOn w:val="Heading"/>
    <w:qFormat/>
    <w:pPr/>
    <w:rPr/>
  </w:style>
  <w:style w:type="character" w:styleId="InternetLink">
    <w:name w:val="Hyperlink"/>
    <w:rPr>
      <w:color w:val="000080"/>
      <w:u w:val="single"/>
      <w:lang w:val="zxx" w:eastAsia="zxx" w:bidi="zxx"/>
    </w:rPr>
  </w:style>
  <w:style w:type="character" w:styleId="NumberingSymbols">
    <w:name w:val="Numbering Symbols"/>
    <w:qFormat/>
    <w:rPr/>
  </w:style>
  <w:style w:type="character" w:styleId="DefaultParagraphFont">
    <w:name w:val="Default Paragraph Font"/>
    <w:qFormat/>
    <w:rPr/>
  </w:style>
  <w:style w:type="character" w:styleId="Strong">
    <w:name w:val="Strong"/>
    <w:basedOn w:val="DefaultParagraphFont"/>
    <w:qFormat/>
    <w:rPr>
      <w:b/>
      <w:bCs/>
    </w:rPr>
  </w:style>
  <w:style w:type="character" w:styleId="SubtitleChar">
    <w:name w:val="Subtitle Char"/>
    <w:qFormat/>
    <w:rPr>
      <w:rFonts w:ascii="Times New Roman" w:hAnsi="Times New Roman" w:eastAsia="Times New Roman" w:cs="Times New Roman"/>
      <w:sz w:val="24"/>
    </w:rPr>
  </w:style>
  <w:style w:type="character" w:styleId="C9">
    <w:name w:val="c9"/>
    <w:qFormat/>
    <w:rPr>
      <w:rFonts w:ascii="Times New Roman" w:hAnsi="Times New Roman" w:eastAsia="Times New Roman" w:cs="Times New Roman"/>
      <w:color w:val="000000"/>
      <w:sz w:val="24"/>
      <w:szCs w:val="24"/>
    </w:rPr>
  </w:style>
  <w:style w:type="character" w:styleId="CharChar">
    <w:name w:val="Char Char"/>
    <w:qFormat/>
    <w:rPr>
      <w:rFonts w:ascii="Tahoma" w:hAnsi="Tahoma" w:cs="Tahoma"/>
      <w:sz w:val="16"/>
      <w:szCs w:val="16"/>
      <w:lang w:val="lv-LV"/>
    </w:rPr>
  </w:style>
  <w:style w:type="character" w:styleId="BalloonTextChar">
    <w:name w:val="Balloon Text Char"/>
    <w:qFormat/>
    <w:rPr>
      <w:rFonts w:ascii="Tahoma" w:hAnsi="Tahoma" w:cs="Tahoma"/>
      <w:sz w:val="16"/>
      <w:szCs w:val="16"/>
      <w:lang w:val="lv-LV"/>
    </w:rPr>
  </w:style>
  <w:style w:type="character" w:styleId="CharChar1">
    <w:name w:val="Char Char1"/>
    <w:qFormat/>
    <w:rPr>
      <w:rFonts w:ascii="Times New Roman" w:hAnsi="Times New Roman" w:cs="Times New Roman"/>
      <w:b/>
      <w:bCs/>
      <w:lang w:val="lv-LV"/>
    </w:rPr>
  </w:style>
  <w:style w:type="character" w:styleId="CommentSubjectChar">
    <w:name w:val="Comment Subject Char"/>
    <w:qFormat/>
    <w:rPr>
      <w:rFonts w:ascii="Times New Roman" w:hAnsi="Times New Roman" w:cs="Times New Roman"/>
      <w:b/>
      <w:bCs/>
      <w:sz w:val="20"/>
      <w:szCs w:val="20"/>
      <w:lang w:val="lv-LV"/>
    </w:rPr>
  </w:style>
  <w:style w:type="character" w:styleId="CharChar2">
    <w:name w:val="Char Char2"/>
    <w:qFormat/>
    <w:rPr>
      <w:rFonts w:ascii="Times New Roman" w:hAnsi="Times New Roman" w:cs="Times New Roman"/>
      <w:lang w:val="lv-LV"/>
    </w:rPr>
  </w:style>
  <w:style w:type="character" w:styleId="CommentTextChar">
    <w:name w:val="Comment Text Char"/>
    <w:qFormat/>
    <w:rPr>
      <w:rFonts w:ascii="Times New Roman" w:hAnsi="Times New Roman" w:cs="Times New Roman"/>
      <w:sz w:val="20"/>
      <w:szCs w:val="20"/>
      <w:lang w:val="lv-LV"/>
    </w:rPr>
  </w:style>
  <w:style w:type="character" w:styleId="CommentReference">
    <w:name w:val="Comment Reference"/>
    <w:qFormat/>
    <w:rPr>
      <w:rFonts w:cs="Times New Roman"/>
      <w:sz w:val="16"/>
      <w:szCs w:val="16"/>
    </w:rPr>
  </w:style>
  <w:style w:type="character" w:styleId="BodyText2Char">
    <w:name w:val="Body Text 2 Char"/>
    <w:qFormat/>
    <w:rPr>
      <w:rFonts w:ascii="Times New Roman" w:hAnsi="Times New Roman" w:cs="Times New Roman"/>
      <w:sz w:val="20"/>
      <w:szCs w:val="20"/>
      <w:lang w:val="lv-LV"/>
    </w:rPr>
  </w:style>
  <w:style w:type="character" w:styleId="BodyTextIndentChar">
    <w:name w:val="Body Text Indent Char"/>
    <w:qFormat/>
    <w:rPr>
      <w:rFonts w:ascii="Times New Roman" w:hAnsi="Times New Roman" w:cs="Times New Roman"/>
      <w:sz w:val="20"/>
      <w:szCs w:val="20"/>
      <w:lang w:val="lv-LV"/>
    </w:rPr>
  </w:style>
  <w:style w:type="character" w:styleId="HeaderChar">
    <w:name w:val="Header Char"/>
    <w:qFormat/>
    <w:rPr>
      <w:rFonts w:ascii="Times New Roman" w:hAnsi="Times New Roman" w:cs="Times New Roman"/>
      <w:sz w:val="20"/>
      <w:szCs w:val="20"/>
      <w:lang w:val="lv-LV"/>
    </w:rPr>
  </w:style>
  <w:style w:type="character" w:styleId="CharChar3">
    <w:name w:val="Char Char3"/>
    <w:qFormat/>
    <w:rPr>
      <w:rFonts w:ascii="Times New Roman" w:hAnsi="Times New Roman" w:cs="Times New Roman"/>
      <w:sz w:val="24"/>
      <w:lang w:val="lv-LV"/>
    </w:rPr>
  </w:style>
  <w:style w:type="character" w:styleId="BodyTextChar">
    <w:name w:val="Body Text Char"/>
    <w:qFormat/>
    <w:rPr>
      <w:rFonts w:ascii="Times New Roman" w:hAnsi="Times New Roman" w:cs="Times New Roman"/>
      <w:sz w:val="20"/>
      <w:szCs w:val="20"/>
      <w:lang w:val="lv-LV"/>
    </w:rPr>
  </w:style>
  <w:style w:type="character" w:styleId="CharChar4">
    <w:name w:val="Char Char4"/>
    <w:qFormat/>
    <w:rPr>
      <w:rFonts w:ascii="Times New Roman" w:hAnsi="Times New Roman" w:cs="Times New Roman"/>
      <w:sz w:val="24"/>
      <w:lang w:val="lv-LV"/>
    </w:rPr>
  </w:style>
  <w:style w:type="character" w:styleId="Heading1Char">
    <w:name w:val="Heading 1 Char"/>
    <w:qFormat/>
    <w:rPr>
      <w:rFonts w:ascii="Cambria" w:hAnsi="Cambria" w:eastAsia="Times New Roman" w:cs="Times New Roman"/>
      <w:b/>
      <w:bCs/>
      <w:kern w:val="2"/>
      <w:sz w:val="32"/>
      <w:szCs w:val="32"/>
      <w:lang w:val="lv-LV"/>
    </w:rPr>
  </w:style>
  <w:style w:type="character" w:styleId="WW8Num5z2">
    <w:name w:val="WW8Num5z2"/>
    <w:qFormat/>
    <w:rPr>
      <w:i/>
      <w:sz w:val="24"/>
    </w:rPr>
  </w:style>
  <w:style w:type="character" w:styleId="WW8Num5z1">
    <w:name w:val="WW8Num5z1"/>
    <w:qFormat/>
    <w:rPr>
      <w:b w:val="false"/>
      <w:i w:val="false"/>
      <w:sz w:val="20"/>
      <w:szCs w:val="20"/>
    </w:rPr>
  </w:style>
  <w:style w:type="character" w:styleId="WW8Num5z0">
    <w:name w:val="WW8Num5z0"/>
    <w:qFormat/>
    <w:rPr>
      <w:b w:val="false"/>
    </w:rPr>
  </w:style>
  <w:style w:type="character" w:styleId="WW8Num4z2">
    <w:name w:val="WW8Num4z2"/>
    <w:qFormat/>
    <w:rPr>
      <w:i/>
      <w:sz w:val="24"/>
    </w:rPr>
  </w:style>
  <w:style w:type="character" w:styleId="WW8Num4z1">
    <w:name w:val="WW8Num4z1"/>
    <w:qFormat/>
    <w:rPr>
      <w:b w:val="false"/>
      <w:i w:val="false"/>
      <w:sz w:val="20"/>
      <w:szCs w:val="20"/>
    </w:rPr>
  </w:style>
  <w:style w:type="character" w:styleId="WW8Num4z0">
    <w:name w:val="WW8Num4z0"/>
    <w:qFormat/>
    <w:rPr>
      <w:b w:val="false"/>
    </w:rPr>
  </w:style>
  <w:style w:type="character" w:styleId="WW8Num3z1">
    <w:name w:val="WW8Num3z1"/>
    <w:qFormat/>
    <w:rPr>
      <w:rFonts w:ascii="Courier New" w:hAnsi="Courier New" w:cs="Courier New"/>
    </w:rPr>
  </w:style>
  <w:style w:type="character" w:styleId="WW8Num3z0">
    <w:name w:val="WW8Num3z0"/>
    <w:qFormat/>
    <w:rPr>
      <w:rFonts w:ascii="Verdana" w:hAnsi="Verdana" w:eastAsia="Times New Roman" w:cs="Times New Roman"/>
    </w:rPr>
  </w:style>
  <w:style w:type="character" w:styleId="WW8Num2z2">
    <w:name w:val="WW8Num2z2"/>
    <w:qFormat/>
    <w:rPr>
      <w:i/>
      <w:sz w:val="24"/>
    </w:rPr>
  </w:style>
  <w:style w:type="character" w:styleId="WW8Num2z1">
    <w:name w:val="WW8Num2z1"/>
    <w:qFormat/>
    <w:rPr>
      <w:b w:val="false"/>
      <w:i w:val="false"/>
      <w:sz w:val="20"/>
      <w:szCs w:val="20"/>
    </w:rPr>
  </w:style>
  <w:style w:type="character" w:styleId="WW8Num2z0">
    <w:name w:val="WW8Num2z0"/>
    <w:qFormat/>
    <w:rPr>
      <w:b w:val="false"/>
    </w:rPr>
  </w:style>
  <w:style w:type="character" w:styleId="WW8Num1z2">
    <w:name w:val="WW8Num1z2"/>
    <w:qFormat/>
    <w:rPr>
      <w:i/>
      <w:sz w:val="24"/>
    </w:rPr>
  </w:style>
  <w:style w:type="character" w:styleId="WW8Num1z1">
    <w:name w:val="WW8Num1z1"/>
    <w:qFormat/>
    <w:rPr>
      <w:b w:val="false"/>
      <w:i w:val="false"/>
      <w:sz w:val="20"/>
      <w:szCs w:val="20"/>
    </w:rPr>
  </w:style>
  <w:style w:type="character" w:styleId="WW8Num1z0">
    <w:name w:val="WW8Num1z0"/>
    <w:qFormat/>
    <w:rPr>
      <w:b w:val="fals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eksts1">
    <w:name w:val="Teksts1"/>
    <w:basedOn w:val="Normal"/>
    <w:qFormat/>
    <w:pPr>
      <w:spacing w:before="0" w:after="320"/>
    </w:pPr>
    <w:rPr>
      <w:rFonts w:ascii="BaltTimes" w:hAnsi="BaltTimes" w:cs="BaltTimes"/>
    </w:rPr>
  </w:style>
  <w:style w:type="paragraph" w:styleId="BodyTextIndent2">
    <w:name w:val="Body Text Indent 2"/>
    <w:basedOn w:val="Normal"/>
    <w:qFormat/>
    <w:pPr>
      <w:spacing w:lineRule="auto" w:line="480" w:before="0" w:after="120"/>
      <w:ind w:left="283" w:hanging="0"/>
    </w:pPr>
    <w:rPr>
      <w:lang w:val="en-US"/>
    </w:rPr>
  </w:style>
  <w:style w:type="paragraph" w:styleId="BalloonText">
    <w:name w:val="Balloon Text"/>
    <w:basedOn w:val="Normal"/>
    <w:qFormat/>
    <w:pPr/>
    <w:rPr>
      <w:rFonts w:ascii="Tahoma" w:hAnsi="Tahoma" w:cs="Tahoma"/>
      <w:sz w:val="16"/>
      <w:szCs w:val="16"/>
    </w:rPr>
  </w:style>
  <w:style w:type="paragraph" w:styleId="CommentSubject">
    <w:name w:val="Comment Subject"/>
    <w:qFormat/>
    <w:pPr>
      <w:widowControl/>
      <w:suppressAutoHyphens w:val="true"/>
      <w:bidi w:val="0"/>
      <w:spacing w:before="0" w:after="0"/>
      <w:jc w:val="left"/>
    </w:pPr>
    <w:rPr>
      <w:rFonts w:ascii="Liberation Serif" w:hAnsi="Liberation Serif" w:eastAsia="NSimSun" w:cs="Arial"/>
      <w:b/>
      <w:bCs/>
      <w:color w:val="auto"/>
      <w:kern w:val="2"/>
      <w:sz w:val="20"/>
      <w:szCs w:val="24"/>
      <w:lang w:val="lv-LV" w:eastAsia="zh-CN" w:bidi="hi-IN"/>
    </w:rPr>
  </w:style>
  <w:style w:type="paragraph" w:styleId="CommentText">
    <w:name w:val="Comment Text"/>
    <w:basedOn w:val="Normal"/>
    <w:qFormat/>
    <w:pPr/>
    <w:rPr/>
  </w:style>
  <w:style w:type="paragraph" w:styleId="BodyText2">
    <w:name w:val="Body Text 2"/>
    <w:basedOn w:val="Normal"/>
    <w:qFormat/>
    <w:pPr>
      <w:spacing w:lineRule="auto" w:line="480" w:before="0" w:after="120"/>
    </w:pPr>
    <w:rPr/>
  </w:style>
  <w:style w:type="paragraph" w:styleId="ListParagraph">
    <w:name w:val="List Paragraph"/>
    <w:basedOn w:val="Normal"/>
    <w:qFormat/>
    <w:pPr>
      <w:spacing w:before="0" w:after="0"/>
      <w:ind w:left="720" w:hanging="0"/>
      <w:contextualSpacing/>
    </w:pPr>
    <w:rPr/>
  </w:style>
  <w:style w:type="paragraph" w:styleId="Subtitle">
    <w:name w:val="Subtitle"/>
    <w:basedOn w:val="Heading"/>
    <w:qFormat/>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639</TotalTime>
  <Application>LibreOffice/7.5.3.2$Windows_X86_64 LibreOffice_project/9f56dff12ba03b9acd7730a5a481eea045e468f3</Application>
  <AppVersion>15.0000</AppVersion>
  <Pages>7</Pages>
  <Words>1734</Words>
  <Characters>11765</Characters>
  <CharactersWithSpaces>13624</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lv-LV</dc:language>
  <cp:lastModifiedBy/>
  <cp:lastPrinted>2024-10-29T09:16:53Z</cp:lastPrinted>
  <dcterms:modified xsi:type="dcterms:W3CDTF">2024-10-29T09:17:07Z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