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1"/>
          <w:numId w:val="2"/>
        </w:numPr>
        <w:rPr/>
      </w:pPr>
      <w:r>
        <w:rPr/>
        <w:t>APSTIPRINĀTS</w:t>
      </w:r>
    </w:p>
    <w:p>
      <w:pPr>
        <w:pStyle w:val="Normal"/>
        <w:jc w:val="right"/>
        <w:rPr/>
      </w:pPr>
      <w:r>
        <w:rPr>
          <w:lang w:val="lv-LV"/>
        </w:rPr>
        <w:t xml:space="preserve">SIA „Dobeles enerģija”  </w:t>
      </w:r>
    </w:p>
    <w:p>
      <w:pPr>
        <w:pStyle w:val="Normal"/>
        <w:jc w:val="right"/>
        <w:rPr/>
      </w:pPr>
      <w:r>
        <w:rPr>
          <w:lang w:val="lv-LV"/>
        </w:rPr>
        <w:t>iepirkumu komisijas</w:t>
      </w:r>
    </w:p>
    <w:p>
      <w:pPr>
        <w:pStyle w:val="Normal"/>
        <w:numPr>
          <w:ilvl w:val="0"/>
          <w:numId w:val="0"/>
        </w:numPr>
        <w:ind w:left="720" w:hanging="0"/>
        <w:jc w:val="right"/>
        <w:rPr/>
      </w:pPr>
      <w:r>
        <w:rPr>
          <w:lang w:val="lv-LV"/>
        </w:rPr>
        <w:t>20</w:t>
      </w:r>
      <w:r>
        <w:rPr>
          <w:rFonts w:eastAsia="Andale Sans UI" w:cs="Tahoma"/>
          <w:color w:val="00000A"/>
          <w:kern w:val="2"/>
          <w:sz w:val="24"/>
          <w:szCs w:val="24"/>
          <w:lang w:val="lv-LV" w:eastAsia="zxx" w:bidi="zxx"/>
        </w:rPr>
        <w:t>24</w:t>
      </w:r>
      <w:r>
        <w:rPr>
          <w:lang w:val="lv-LV"/>
        </w:rPr>
        <w:t>.</w:t>
      </w:r>
      <w:r>
        <w:rPr>
          <w:shd w:fill="auto" w:val="clear"/>
          <w:lang w:val="lv-LV"/>
        </w:rPr>
        <w:t xml:space="preserve">gada </w:t>
      </w:r>
      <w:r>
        <w:rPr>
          <w:rFonts w:eastAsia="Andale Sans UI" w:cs="Tahoma"/>
          <w:color w:val="00000A"/>
          <w:kern w:val="2"/>
          <w:sz w:val="24"/>
          <w:szCs w:val="24"/>
          <w:shd w:fill="auto" w:val="clear"/>
          <w:lang w:val="lv-LV" w:eastAsia="zxx" w:bidi="zxx"/>
        </w:rPr>
        <w:t>7</w:t>
      </w:r>
      <w:r>
        <w:rPr>
          <w:shd w:fill="auto" w:val="clear"/>
          <w:lang w:val="lv-LV"/>
        </w:rPr>
        <w:t>.</w:t>
      </w:r>
      <w:r>
        <w:rPr>
          <w:rFonts w:eastAsia="Andale Sans UI" w:cs="Tahoma"/>
          <w:color w:val="00000A"/>
          <w:kern w:val="2"/>
          <w:sz w:val="24"/>
          <w:szCs w:val="24"/>
          <w:shd w:fill="auto" w:val="clear"/>
          <w:lang w:val="lv-LV" w:eastAsia="zxx" w:bidi="zxx"/>
        </w:rPr>
        <w:t>augusta</w:t>
      </w:r>
      <w:r>
        <w:rPr>
          <w:lang w:val="lv-LV"/>
        </w:rPr>
        <w:t xml:space="preserve"> sēdē</w:t>
      </w:r>
    </w:p>
    <w:p>
      <w:pPr>
        <w:pStyle w:val="Normal"/>
        <w:jc w:val="right"/>
        <w:rPr/>
      </w:pPr>
      <w:r>
        <w:rPr>
          <w:lang w:val="lv-LV"/>
        </w:rPr>
        <w:t>protokols Nr. 4</w:t>
      </w:r>
      <w:r>
        <w:rPr>
          <w:shd w:fill="auto" w:val="clear"/>
          <w:lang w:val="lv-LV"/>
        </w:rPr>
        <w:t>/10-</w:t>
      </w:r>
      <w:r>
        <w:rPr>
          <w:rFonts w:eastAsia="Andale Sans UI" w:cs="Tahoma"/>
          <w:color w:val="00000A"/>
          <w:kern w:val="2"/>
          <w:sz w:val="24"/>
          <w:szCs w:val="24"/>
          <w:shd w:fill="auto" w:val="clear"/>
          <w:lang w:val="lv-LV" w:eastAsia="zxx" w:bidi="zxx"/>
        </w:rPr>
        <w:t>25</w:t>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BodyText3"/>
        <w:spacing w:lineRule="auto" w:line="276" w:before="120" w:after="120"/>
        <w:jc w:val="center"/>
        <w:rPr/>
      </w:pPr>
      <w:r>
        <w:rPr>
          <w:b w:val="false"/>
          <w:sz w:val="28"/>
          <w:szCs w:val="28"/>
        </w:rPr>
        <w:t>IEPIRKUMA PROCEDŪRA</w:t>
      </w:r>
    </w:p>
    <w:p>
      <w:pPr>
        <w:pStyle w:val="BodyText3"/>
        <w:spacing w:lineRule="auto" w:line="276" w:before="120" w:after="120"/>
        <w:rPr>
          <w:b w:val="false"/>
          <w:sz w:val="28"/>
          <w:szCs w:val="28"/>
        </w:rPr>
      </w:pPr>
      <w:r>
        <w:rPr>
          <w:b w:val="false"/>
          <w:sz w:val="28"/>
          <w:szCs w:val="28"/>
        </w:rPr>
      </w:r>
    </w:p>
    <w:p>
      <w:pPr>
        <w:pStyle w:val="Subtitle"/>
        <w:spacing w:lineRule="auto" w:line="276" w:before="120" w:after="120"/>
        <w:rPr/>
      </w:pPr>
      <w:r>
        <w:rPr>
          <w:iCs/>
          <w:sz w:val="32"/>
          <w:szCs w:val="32"/>
          <w:lang w:val="lv-LV"/>
        </w:rPr>
        <w:t>TRANSPORTLĪDZEKĻA IEGĀDE</w:t>
      </w:r>
    </w:p>
    <w:p>
      <w:pPr>
        <w:pStyle w:val="Subtitle"/>
        <w:spacing w:lineRule="auto" w:line="276" w:before="120" w:after="120"/>
        <w:rPr/>
      </w:pPr>
      <w:r>
        <w:rPr>
          <w:b w:val="false"/>
          <w:sz w:val="28"/>
          <w:szCs w:val="28"/>
          <w:lang w:val="lv-LV"/>
        </w:rPr>
        <w:t>(ID Nr.  DE 2024/10)</w:t>
      </w:r>
    </w:p>
    <w:p>
      <w:pPr>
        <w:pStyle w:val="Heading1"/>
        <w:numPr>
          <w:ilvl w:val="0"/>
          <w:numId w:val="2"/>
        </w:numPr>
        <w:rPr/>
      </w:pPr>
      <w:r>
        <w:rPr>
          <w:szCs w:val="28"/>
        </w:rPr>
        <w:t>NOLIKUMS</w:t>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jc w:val="center"/>
        <w:rPr/>
      </w:pPr>
      <w:r>
        <w:rPr>
          <w:lang w:val="lv-LV"/>
        </w:rPr>
        <w:t>Dobele, 2024</w:t>
      </w:r>
      <w:r>
        <w:br w:type="page"/>
      </w:r>
    </w:p>
    <w:p>
      <w:pPr>
        <w:pStyle w:val="ListParagraph"/>
        <w:numPr>
          <w:ilvl w:val="0"/>
          <w:numId w:val="3"/>
        </w:numPr>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Pasūtītājs un tā kontaktpersona</w:t>
      </w:r>
    </w:p>
    <w:p>
      <w:pPr>
        <w:pStyle w:val="ListParagraph"/>
        <w:numPr>
          <w:ilvl w:val="1"/>
          <w:numId w:val="3"/>
        </w:numPr>
        <w:rPr/>
      </w:pPr>
      <w:r>
        <w:rPr/>
        <w:t>Pasūtītājs:  SIA „Dobeles enerģija”</w:t>
      </w:r>
    </w:p>
    <w:p>
      <w:pPr>
        <w:pStyle w:val="Normal"/>
        <w:ind w:left="138" w:firstLine="720"/>
        <w:jc w:val="both"/>
        <w:rPr/>
      </w:pPr>
      <w:r>
        <w:rPr>
          <w:lang w:val="lv-LV"/>
        </w:rPr>
        <w:t>Juridiskā adrese: Spodrības iela 4a, Dobele, Dobeles novads, LV 3701</w:t>
      </w:r>
    </w:p>
    <w:p>
      <w:pPr>
        <w:pStyle w:val="Normal"/>
        <w:ind w:left="138" w:firstLine="720"/>
        <w:jc w:val="both"/>
        <w:rPr/>
      </w:pPr>
      <w:r>
        <w:rPr/>
        <w:t>Biroja adrese: Kr.Valdemāra iela 3a, Dobele, Dobeles novads, LV-3701</w:t>
      </w:r>
    </w:p>
    <w:p>
      <w:pPr>
        <w:pStyle w:val="Normal"/>
        <w:tabs>
          <w:tab w:val="clear" w:pos="706"/>
          <w:tab w:val="left" w:pos="851" w:leader="none"/>
        </w:tabs>
        <w:ind w:left="858" w:hanging="708"/>
        <w:jc w:val="both"/>
        <w:rPr/>
      </w:pPr>
      <w:r>
        <w:rPr>
          <w:lang w:val="lv-LV"/>
        </w:rPr>
        <w:tab/>
        <w:t>Reģistrācijas Nr. 45103002039</w:t>
      </w:r>
    </w:p>
    <w:p>
      <w:pPr>
        <w:pStyle w:val="Normal"/>
        <w:tabs>
          <w:tab w:val="clear" w:pos="706"/>
          <w:tab w:val="left" w:pos="851" w:leader="none"/>
        </w:tabs>
        <w:ind w:left="858" w:hanging="708"/>
        <w:jc w:val="both"/>
        <w:rPr/>
      </w:pPr>
      <w:r>
        <w:rPr>
          <w:lang w:val="lv-LV"/>
        </w:rPr>
        <w:tab/>
        <w:t>Tālruņa Nr. 63707211;</w:t>
      </w:r>
    </w:p>
    <w:p>
      <w:pPr>
        <w:pStyle w:val="Normal"/>
        <w:tabs>
          <w:tab w:val="clear" w:pos="706"/>
          <w:tab w:val="left" w:pos="851" w:leader="none"/>
        </w:tabs>
        <w:ind w:left="858" w:hanging="708"/>
        <w:jc w:val="both"/>
        <w:rPr/>
      </w:pPr>
      <w:r>
        <w:rPr>
          <w:lang w:val="lv-LV"/>
        </w:rPr>
        <w:tab/>
        <w:t>Iepirkumu veic ar  SIA „Dobeles enerģija”  valdes priekšsēdētāja 22.02.2022. rīkojumu Nr. 26-r  izveidota un apstiprināta iepirkumu komisija (turpmāk –Komisija).</w:t>
      </w:r>
    </w:p>
    <w:p>
      <w:pPr>
        <w:pStyle w:val="ListParagraph"/>
        <w:numPr>
          <w:ilvl w:val="1"/>
          <w:numId w:val="3"/>
        </w:numPr>
        <w:rPr/>
      </w:pPr>
      <w:r>
        <w:rPr/>
        <w:t xml:space="preserve">Iepirkuma kontaktpersonas: </w:t>
      </w:r>
    </w:p>
    <w:tbl>
      <w:tblPr>
        <w:tblW w:w="9997" w:type="dxa"/>
        <w:jc w:val="left"/>
        <w:tblInd w:w="13" w:type="dxa"/>
        <w:tblLayout w:type="fixed"/>
        <w:tblCellMar>
          <w:top w:w="0" w:type="dxa"/>
          <w:left w:w="8" w:type="dxa"/>
          <w:bottom w:w="0" w:type="dxa"/>
          <w:right w:w="108" w:type="dxa"/>
        </w:tblCellMar>
        <w:tblLook w:firstRow="1" w:noVBand="1" w:lastRow="0" w:firstColumn="1" w:lastColumn="0" w:noHBand="0" w:val="04a0"/>
      </w:tblPr>
      <w:tblGrid>
        <w:gridCol w:w="4788"/>
        <w:gridCol w:w="5208"/>
      </w:tblGrid>
      <w:tr>
        <w:trPr/>
        <w:tc>
          <w:tcPr>
            <w:tcW w:w="4788" w:type="dxa"/>
            <w:tcBorders>
              <w:top w:val="single" w:sz="4" w:space="0" w:color="000001"/>
              <w:left w:val="single" w:sz="4" w:space="0" w:color="000001"/>
              <w:bottom w:val="single" w:sz="4" w:space="0" w:color="000001"/>
            </w:tcBorders>
            <w:shd w:fill="auto" w:val="clear"/>
          </w:tcPr>
          <w:p>
            <w:pPr>
              <w:pStyle w:val="Normal"/>
              <w:widowControl w:val="false"/>
              <w:rPr/>
            </w:pPr>
            <w:r>
              <w:rPr>
                <w:lang w:val="lv-LV"/>
              </w:rPr>
              <w:t>Kontaktpersona pa iepirkumu:</w:t>
            </w:r>
          </w:p>
        </w:tc>
        <w:tc>
          <w:tcPr>
            <w:tcW w:w="52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pPr>
            <w:r>
              <w:rPr>
                <w:color w:val="000000"/>
                <w:lang w:val="lv-LV"/>
              </w:rPr>
              <w:t>Gundega Geiko, gundega.geiko@dobelesenergija.lv, 63707211</w:t>
            </w:r>
          </w:p>
        </w:tc>
      </w:tr>
      <w:tr>
        <w:trPr/>
        <w:tc>
          <w:tcPr>
            <w:tcW w:w="4788" w:type="dxa"/>
            <w:tcBorders>
              <w:left w:val="single" w:sz="4" w:space="0" w:color="000001"/>
              <w:bottom w:val="single" w:sz="4" w:space="0" w:color="000001"/>
            </w:tcBorders>
            <w:shd w:fill="auto" w:val="clear"/>
          </w:tcPr>
          <w:p>
            <w:pPr>
              <w:pStyle w:val="Normal"/>
              <w:widowControl w:val="false"/>
              <w:rPr/>
            </w:pPr>
            <w:r>
              <w:rPr/>
              <w:t>Kontaktpersona par iepirkuma priekšmetu:</w:t>
            </w:r>
          </w:p>
        </w:tc>
        <w:tc>
          <w:tcPr>
            <w:tcW w:w="5208" w:type="dxa"/>
            <w:tcBorders>
              <w:left w:val="single" w:sz="4" w:space="0" w:color="000001"/>
              <w:bottom w:val="single" w:sz="4" w:space="0" w:color="000001"/>
              <w:right w:val="single" w:sz="4" w:space="0" w:color="000001"/>
            </w:tcBorders>
            <w:shd w:fill="auto" w:val="clear"/>
          </w:tcPr>
          <w:p>
            <w:pPr>
              <w:pStyle w:val="Normal"/>
              <w:widowControl w:val="false"/>
              <w:rPr/>
            </w:pPr>
            <w:r>
              <w:rPr/>
              <w:t xml:space="preserve">Aivars Stokenbergs, </w:t>
            </w:r>
            <w:hyperlink r:id="rId2">
              <w:r>
                <w:rPr>
                  <w:rStyle w:val="InternetLink"/>
                </w:rPr>
                <w:t>aivars.stokenbergs@dobelesenergija.lv</w:t>
              </w:r>
            </w:hyperlink>
            <w:r>
              <w:rPr/>
              <w:t>, 29165123</w:t>
            </w:r>
          </w:p>
        </w:tc>
      </w:tr>
      <w:tr>
        <w:trPr/>
        <w:tc>
          <w:tcPr>
            <w:tcW w:w="4788" w:type="dxa"/>
            <w:tcBorders>
              <w:top w:val="single" w:sz="4" w:space="0" w:color="000001"/>
              <w:left w:val="single" w:sz="4" w:space="0" w:color="000001"/>
              <w:bottom w:val="single" w:sz="4" w:space="0" w:color="000001"/>
            </w:tcBorders>
            <w:shd w:fill="auto" w:val="clear"/>
          </w:tcPr>
          <w:p>
            <w:pPr>
              <w:pStyle w:val="Normal"/>
              <w:widowControl w:val="false"/>
              <w:rPr/>
            </w:pPr>
            <w:r>
              <w:rPr>
                <w:lang w:val="lv-LV"/>
              </w:rPr>
              <w:t>Darba laiks</w:t>
            </w:r>
          </w:p>
        </w:tc>
        <w:tc>
          <w:tcPr>
            <w:tcW w:w="52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pPr>
            <w:r>
              <w:rPr>
                <w:color w:val="000000"/>
                <w:lang w:val="lv-LV"/>
              </w:rPr>
              <w:t>Darba dienās 8:00-12:00 un 13:00-17:00</w:t>
            </w:r>
          </w:p>
        </w:tc>
      </w:tr>
    </w:tbl>
    <w:p>
      <w:pPr>
        <w:pStyle w:val="Tv213limenis2"/>
        <w:numPr>
          <w:ilvl w:val="0"/>
          <w:numId w:val="0"/>
        </w:numPr>
        <w:spacing w:before="0" w:after="0"/>
        <w:ind w:left="360" w:hanging="0"/>
        <w:rPr>
          <w:rFonts w:ascii="Times New Roman" w:hAnsi="Times New Roman" w:eastAsia="Times New Roman" w:cs="Times New Roman"/>
          <w:b/>
          <w:caps/>
          <w:color w:val="000000"/>
          <w:kern w:val="2"/>
          <w:sz w:val="24"/>
          <w:szCs w:val="24"/>
          <w:lang w:val="lv-LV" w:eastAsia="lv-LV" w:bidi="lo-LA"/>
        </w:rPr>
      </w:pPr>
      <w:r>
        <w:rPr>
          <w:rFonts w:eastAsia="Times New Roman" w:cs="Times New Roman" w:ascii="Times New Roman" w:hAnsi="Times New Roman"/>
          <w:b/>
          <w:caps/>
          <w:color w:val="000000"/>
          <w:kern w:val="2"/>
          <w:sz w:val="24"/>
          <w:szCs w:val="24"/>
          <w:lang w:val="lv-LV" w:eastAsia="lv-LV" w:bidi="lo-LA"/>
        </w:rPr>
      </w:r>
    </w:p>
    <w:p>
      <w:pPr>
        <w:pStyle w:val="Tv213limenis2"/>
        <w:numPr>
          <w:ilvl w:val="0"/>
          <w:numId w:val="3"/>
        </w:numPr>
        <w:spacing w:before="0" w:after="0"/>
        <w:rPr>
          <w:rFonts w:ascii="Times New Roman" w:hAnsi="Times New Roman" w:eastAsia="Times New Roman" w:cs="Times New Roman"/>
          <w:b/>
          <w:caps/>
          <w:color w:val="000000"/>
          <w:kern w:val="2"/>
          <w:sz w:val="24"/>
          <w:szCs w:val="24"/>
          <w:lang w:val="lv-LV" w:eastAsia="lv-LV" w:bidi="lo-LA"/>
        </w:rPr>
      </w:pPr>
      <w:r>
        <w:rPr>
          <w:rFonts w:eastAsia="Times New Roman" w:cs="Times New Roman" w:ascii="Times New Roman" w:hAnsi="Times New Roman"/>
          <w:b/>
          <w:caps/>
          <w:color w:val="000000"/>
          <w:kern w:val="2"/>
          <w:sz w:val="24"/>
          <w:szCs w:val="24"/>
          <w:lang w:val="lv-LV" w:eastAsia="lv-LV" w:bidi="lo-LA"/>
        </w:rPr>
        <w:t>Iepirkuma priekšmets un apraksts</w:t>
      </w:r>
    </w:p>
    <w:p>
      <w:pPr>
        <w:pStyle w:val="Normal"/>
        <w:numPr>
          <w:ilvl w:val="1"/>
          <w:numId w:val="3"/>
        </w:numPr>
        <w:jc w:val="both"/>
        <w:rPr>
          <w:rFonts w:ascii="Times New Roman" w:hAnsi="Times New Roman" w:eastAsia="Andale Sans UI" w:cs="Tahoma"/>
          <w:color w:val="00000A"/>
          <w:kern w:val="2"/>
          <w:sz w:val="24"/>
          <w:szCs w:val="22"/>
          <w:lang w:val="lv-LV" w:eastAsia="zxx" w:bidi="zxx"/>
        </w:rPr>
      </w:pPr>
      <w:r>
        <w:rPr>
          <w:rFonts w:eastAsia="Andale Sans UI" w:cs="Tahoma"/>
          <w:color w:val="00000A"/>
          <w:kern w:val="2"/>
          <w:sz w:val="24"/>
          <w:szCs w:val="22"/>
          <w:lang w:val="lv-LV" w:eastAsia="zxx" w:bidi="zxx"/>
        </w:rPr>
        <w:t>Katrs Pretendents drīkst piedāvāt</w:t>
      </w:r>
      <w:r>
        <w:rPr>
          <w:rFonts w:eastAsia="Andale Sans UI" w:cs="Tahoma"/>
          <w:b w:val="false"/>
          <w:bCs w:val="false"/>
          <w:i w:val="false"/>
          <w:iCs w:val="false"/>
          <w:color w:val="00000A"/>
          <w:kern w:val="2"/>
          <w:sz w:val="24"/>
          <w:szCs w:val="22"/>
          <w:u w:val="none"/>
          <w:lang w:val="lv-LV" w:eastAsia="zxx" w:bidi="zxx"/>
        </w:rPr>
        <w:t xml:space="preserve"> </w:t>
      </w:r>
      <w:r>
        <w:rPr>
          <w:rFonts w:eastAsia="Andale Sans UI" w:cs="Tahoma"/>
          <w:b/>
          <w:bCs/>
          <w:i w:val="false"/>
          <w:iCs w:val="false"/>
          <w:color w:val="00000A"/>
          <w:kern w:val="2"/>
          <w:sz w:val="24"/>
          <w:szCs w:val="22"/>
          <w:u w:val="none"/>
          <w:lang w:val="lv-LV" w:eastAsia="zxx" w:bidi="zxx"/>
        </w:rPr>
        <w:t>ne vairāk kā divus piedāvājuma</w:t>
      </w:r>
      <w:r>
        <w:rPr>
          <w:rFonts w:eastAsia="Andale Sans UI" w:cs="Tahoma"/>
          <w:b w:val="false"/>
          <w:bCs w:val="false"/>
          <w:i w:val="false"/>
          <w:iCs w:val="false"/>
          <w:color w:val="00000A"/>
          <w:kern w:val="2"/>
          <w:sz w:val="24"/>
          <w:szCs w:val="22"/>
          <w:u w:val="none"/>
          <w:lang w:val="lv-LV" w:eastAsia="zxx" w:bidi="zxx"/>
        </w:rPr>
        <w:t xml:space="preserve"> variantu</w:t>
      </w:r>
      <w:r>
        <w:rPr>
          <w:rFonts w:eastAsia="Andale Sans UI" w:cs="Tahoma"/>
          <w:color w:val="00000A"/>
          <w:kern w:val="2"/>
          <w:sz w:val="24"/>
          <w:szCs w:val="22"/>
          <w:lang w:val="lv-LV" w:eastAsia="zxx" w:bidi="zxx"/>
        </w:rPr>
        <w:t>.</w:t>
      </w:r>
    </w:p>
    <w:p>
      <w:pPr>
        <w:pStyle w:val="Normal"/>
        <w:numPr>
          <w:ilvl w:val="1"/>
          <w:numId w:val="3"/>
        </w:numPr>
        <w:rPr/>
      </w:pPr>
      <w:r>
        <w:rPr>
          <w:szCs w:val="22"/>
          <w:lang w:val="lv-LV"/>
        </w:rPr>
        <w:t xml:space="preserve">Iepirkuma priekšmets – </w:t>
      </w:r>
      <w:r>
        <w:rPr>
          <w:b w:val="false"/>
          <w:bCs w:val="false"/>
          <w:szCs w:val="22"/>
          <w:u w:val="none"/>
          <w:lang w:val="lv-LV"/>
        </w:rPr>
        <w:t>transportlīdzekļu</w:t>
      </w:r>
      <w:r>
        <w:rPr>
          <w:b w:val="false"/>
          <w:bCs w:val="false"/>
          <w:u w:val="none"/>
          <w:lang w:val="lv-LV"/>
        </w:rPr>
        <w:t xml:space="preserve"> iegāde</w:t>
      </w:r>
      <w:r>
        <w:rPr>
          <w:b/>
          <w:bCs/>
          <w:lang w:val="lv-LV"/>
        </w:rPr>
        <w:t xml:space="preserve"> </w:t>
      </w:r>
      <w:r>
        <w:rPr>
          <w:lang w:val="lv-LV"/>
        </w:rPr>
        <w:t>saskaņā ar Tehniskās specifikācijas prasībām (2. pielikums).</w:t>
      </w:r>
    </w:p>
    <w:p>
      <w:pPr>
        <w:pStyle w:val="Normal"/>
        <w:numPr>
          <w:ilvl w:val="1"/>
          <w:numId w:val="3"/>
        </w:numPr>
        <w:jc w:val="both"/>
        <w:rPr/>
      </w:pPr>
      <w:r>
        <w:rPr>
          <w:szCs w:val="22"/>
          <w:lang w:val="lv-LV"/>
        </w:rPr>
        <w:t xml:space="preserve">Piedāvājumu vērtēšanas kritērijs – saimnieciski visizdevīgākais piedāvājums. </w:t>
      </w:r>
    </w:p>
    <w:p>
      <w:pPr>
        <w:pStyle w:val="Normal"/>
        <w:numPr>
          <w:ilvl w:val="1"/>
          <w:numId w:val="3"/>
        </w:numPr>
        <w:jc w:val="both"/>
        <w:rPr/>
      </w:pPr>
      <w:r>
        <w:rPr>
          <w:lang w:val="lv-LV"/>
        </w:rPr>
        <w:t>Transportlīdzekļa piegādes termiņš – 4 (četru) mēnešu laikā no līguma parakstīšanas brīža.</w:t>
      </w:r>
    </w:p>
    <w:p>
      <w:pPr>
        <w:pStyle w:val="Normal"/>
        <w:numPr>
          <w:ilvl w:val="0"/>
          <w:numId w:val="0"/>
        </w:numPr>
        <w:ind w:left="858" w:hanging="0"/>
        <w:jc w:val="both"/>
        <w:rPr>
          <w:lang w:val="lv-LV"/>
        </w:rPr>
      </w:pPr>
      <w:r>
        <w:rPr>
          <w:lang w:val="lv-LV"/>
        </w:rPr>
      </w:r>
    </w:p>
    <w:p>
      <w:pPr>
        <w:pStyle w:val="Normal"/>
        <w:numPr>
          <w:ilvl w:val="0"/>
          <w:numId w:val="3"/>
        </w:numPr>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Nolikuma pieejamība un papildus informācijas sniegšana</w:t>
      </w:r>
    </w:p>
    <w:p>
      <w:pPr>
        <w:pStyle w:val="Normal"/>
        <w:numPr>
          <w:ilvl w:val="1"/>
          <w:numId w:val="3"/>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sz w:val="24"/>
          <w:szCs w:val="24"/>
          <w:lang w:eastAsia="lv-LV" w:bidi="lo-LA"/>
        </w:rPr>
        <w:t xml:space="preserve">Nolikums ir brīvi un tieši elektroniski pieejams EIS tīmekļvietnē </w:t>
      </w:r>
      <w:hyperlink r:id="rId3">
        <w:r>
          <w:rPr>
            <w:rFonts w:eastAsia="Times New Roman" w:cs="Times New Roman"/>
            <w:color w:val="0000FF"/>
            <w:sz w:val="24"/>
            <w:szCs w:val="24"/>
            <w:u w:val="single"/>
            <w:lang w:eastAsia="lv-LV" w:bidi="lo-LA"/>
          </w:rPr>
          <w:t>www.eis.gov.lv</w:t>
        </w:r>
      </w:hyperlink>
      <w:r>
        <w:rPr>
          <w:rFonts w:eastAsia="Times New Roman" w:cs="Times New Roman"/>
          <w:sz w:val="24"/>
          <w:szCs w:val="24"/>
          <w:lang w:eastAsia="lv-LV" w:bidi="lo-LA"/>
        </w:rPr>
        <w:t xml:space="preserve"> e-konkursu apakšsistēmā un uzņēmuma mājas lapā www.dobelesenergija.lv. </w:t>
      </w:r>
    </w:p>
    <w:p>
      <w:pPr>
        <w:pStyle w:val="Normal"/>
        <w:numPr>
          <w:ilvl w:val="1"/>
          <w:numId w:val="3"/>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color w:val="000000"/>
          <w:sz w:val="24"/>
          <w:szCs w:val="24"/>
          <w:lang w:eastAsia="lv-LV" w:bidi="lo-LA"/>
        </w:rPr>
        <w:t>Papildu informāciju par Nolikumā iekļautajām prasībām ieinteresētais Piegādātājs pieprasa rakstveidā, nosūtot informācijas pieprasījumu Pasūtītājam saskaņā ar Nolikuma 1.punktā minētajiem rekvizītiem</w:t>
      </w:r>
      <w:r>
        <w:rPr>
          <w:rFonts w:eastAsia="Times New Roman" w:cs="Times New Roman"/>
          <w:sz w:val="24"/>
          <w:szCs w:val="24"/>
          <w:lang w:eastAsia="lv-LV" w:bidi="lo-LA"/>
        </w:rPr>
        <w:t xml:space="preserve">. Pieprasījumā norāda Iepirkuma identifikācijas numuru un nosaukumu. </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sz w:val="24"/>
          <w:szCs w:val="24"/>
          <w:lang w:eastAsia="lv-LV" w:bidi="lo-LA"/>
        </w:rPr>
        <w:t xml:space="preserve">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w:t>
      </w:r>
      <w:r>
        <w:rPr>
          <w:rFonts w:eastAsia="Times New Roman" w:cs="Times New Roman"/>
          <w:color w:val="000000"/>
          <w:sz w:val="24"/>
          <w:szCs w:val="24"/>
          <w:lang w:eastAsia="lv-LV" w:bidi="lo-LA"/>
        </w:rPr>
        <w:t xml:space="preserve"> </w:t>
      </w:r>
    </w:p>
    <w:p>
      <w:pPr>
        <w:pStyle w:val="Normal"/>
        <w:numPr>
          <w:ilvl w:val="0"/>
          <w:numId w:val="0"/>
        </w:numPr>
        <w:spacing w:lineRule="auto" w:line="240" w:before="0" w:after="0"/>
        <w:ind w:left="0" w:right="57" w:hanging="0"/>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r>
    </w:p>
    <w:p>
      <w:pPr>
        <w:pStyle w:val="ListParagraph"/>
        <w:numPr>
          <w:ilvl w:val="0"/>
          <w:numId w:val="3"/>
        </w:numPr>
        <w:spacing w:lineRule="auto" w:line="240" w:before="0" w:after="0"/>
        <w:ind w:left="360" w:right="57" w:hanging="360"/>
        <w:contextualSpacing/>
        <w:jc w:val="left"/>
        <w:outlineLvl w:val="0"/>
        <w:rPr>
          <w:rFonts w:ascii="Times New Roman" w:hAnsi="Times New Roman" w:eastAsia="Times New Roman" w:cs="Times New Roman"/>
          <w:b/>
          <w:caps/>
          <w:color w:val="000000"/>
          <w:sz w:val="24"/>
          <w:szCs w:val="24"/>
          <w:lang w:eastAsia="lv-LV" w:bidi="lo-LA"/>
        </w:rPr>
      </w:pPr>
      <w:bookmarkStart w:id="0" w:name="_Toc494275653"/>
      <w:bookmarkStart w:id="1" w:name="_Toc488741578"/>
      <w:bookmarkStart w:id="2" w:name="_Toc488741123"/>
      <w:bookmarkStart w:id="3" w:name="_Toc488740815"/>
      <w:bookmarkStart w:id="4" w:name="_Toc488740509"/>
      <w:bookmarkStart w:id="5" w:name="_Toc466890241"/>
      <w:bookmarkStart w:id="6" w:name="_Toc442794824"/>
      <w:bookmarkStart w:id="7" w:name="_Toc527633340"/>
      <w:r>
        <w:rPr>
          <w:rFonts w:eastAsia="Times New Roman" w:cs="Times New Roman"/>
          <w:b/>
          <w:caps/>
          <w:color w:val="000000"/>
          <w:sz w:val="24"/>
          <w:szCs w:val="24"/>
          <w:lang w:eastAsia="lv-LV" w:bidi="lo-LA"/>
        </w:rPr>
        <w:t>Piedāvājuma iesniegšanas un atvēršanas kārtība</w:t>
      </w:r>
      <w:bookmarkEnd w:id="7"/>
      <w:r>
        <w:rPr>
          <w:rFonts w:eastAsia="Times New Roman" w:cs="Times New Roman"/>
          <w:b/>
          <w:caps/>
          <w:color w:val="000000"/>
          <w:sz w:val="24"/>
          <w:szCs w:val="24"/>
          <w:lang w:eastAsia="lv-LV" w:bidi="lo-LA"/>
        </w:rPr>
        <w:t xml:space="preserve"> </w:t>
      </w:r>
      <w:bookmarkEnd w:id="0"/>
      <w:bookmarkEnd w:id="1"/>
      <w:bookmarkEnd w:id="2"/>
      <w:bookmarkEnd w:id="3"/>
      <w:bookmarkEnd w:id="4"/>
      <w:bookmarkEnd w:id="5"/>
      <w:bookmarkEnd w:id="6"/>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sz w:val="24"/>
          <w:szCs w:val="24"/>
          <w:lang w:eastAsia="lv-LV" w:bidi="lo-LA"/>
        </w:rPr>
        <w:t>4.1.</w:t>
      </w:r>
      <w:r>
        <w:rPr>
          <w:rFonts w:eastAsia="Times New Roman" w:cs="Times New Roman"/>
          <w:color w:val="000000"/>
          <w:kern w:val="0"/>
          <w:sz w:val="24"/>
          <w:szCs w:val="24"/>
          <w:shd w:fill="auto" w:val="clear"/>
          <w:lang w:val="lv-LV" w:eastAsia="lv-LV" w:bidi="lo-LA"/>
        </w:rPr>
        <w:t xml:space="preserve"> Piedāvājumi  iesniedzami  līdz  </w:t>
      </w:r>
      <w:r>
        <w:rPr>
          <w:rFonts w:eastAsia="Times New Roman" w:cs="Times New Roman"/>
          <w:b/>
          <w:color w:val="000000"/>
          <w:kern w:val="0"/>
          <w:sz w:val="24"/>
          <w:szCs w:val="24"/>
          <w:shd w:fill="auto" w:val="clear"/>
          <w:lang w:val="lv-LV" w:eastAsia="lv-LV" w:bidi="lo-LA"/>
        </w:rPr>
        <w:t>2024.gada 28.augustam plkst.10:00.</w:t>
      </w:r>
      <w:r>
        <w:rPr>
          <w:rFonts w:eastAsia="Times New Roman" w:cs="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pPr>
      <w:r>
        <w:rPr>
          <w:rFonts w:eastAsia="Times New Roman" w:cs="Times New Roman"/>
          <w:color w:val="000000"/>
          <w:kern w:val="0"/>
          <w:sz w:val="24"/>
          <w:szCs w:val="24"/>
          <w:shd w:fill="auto" w:val="clear"/>
          <w:lang w:val="lv-LV" w:eastAsia="lv-LV" w:bidi="lo-LA"/>
        </w:rPr>
        <w:t xml:space="preserve">4.2. Ieinteresētais Pretendents piedāvājumus var iesniegt </w:t>
      </w:r>
      <w:r>
        <w:rPr>
          <w:rFonts w:eastAsia="Times New Roman" w:cs="Times New Roman"/>
          <w:b/>
          <w:bCs/>
          <w:color w:val="000000"/>
          <w:kern w:val="0"/>
          <w:sz w:val="24"/>
          <w:szCs w:val="24"/>
          <w:shd w:fill="auto" w:val="clear"/>
          <w:lang w:val="lv-LV" w:eastAsia="lv-LV" w:bidi="lo-LA"/>
        </w:rPr>
        <w:t xml:space="preserve">sūtot pa pastu vai uz e-pastu: </w:t>
      </w:r>
      <w:r>
        <w:rPr>
          <w:rFonts w:eastAsia="Times New Roman" w:cs="Times New Roman"/>
          <w:b/>
          <w:bCs/>
          <w:i/>
          <w:iCs/>
          <w:color w:val="000000"/>
          <w:kern w:val="0"/>
          <w:sz w:val="24"/>
          <w:szCs w:val="24"/>
          <w:shd w:fill="auto" w:val="clear"/>
          <w:lang w:val="lv-LV" w:eastAsia="lv-LV" w:bidi="lo-LA"/>
        </w:rPr>
        <w:t>gundega.geiko@dobelesenergija.lv.</w:t>
      </w:r>
      <w:r>
        <w:rPr>
          <w:rFonts w:eastAsia="Times New Roman" w:cs="Times New Roman"/>
          <w:color w:val="000000"/>
          <w:kern w:val="0"/>
          <w:sz w:val="24"/>
          <w:szCs w:val="24"/>
          <w:shd w:fill="auto" w:val="clear"/>
          <w:lang w:val="lv-LV" w:eastAsia="lv-LV" w:bidi="lo-LA"/>
        </w:rPr>
        <w:t xml:space="preserve"> Pasta sūtījumam jābūt nogādātam 4.1.punktā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sz w:val="24"/>
          <w:szCs w:val="24"/>
          <w:lang w:eastAsia="lv-LV" w:bidi="lo-LA"/>
        </w:rPr>
        <w:t>4.3. Ja Pretendents piedāvājuma datu aizsardzībai izmantojis piedāvājuma šifrēšanu, Pretendentam ne vēlāk kā 1</w:t>
      </w:r>
      <w:r>
        <w:rPr>
          <w:rFonts w:eastAsia="Times New Roman" w:cs="Times New Roman"/>
          <w:color w:val="auto"/>
          <w:kern w:val="0"/>
          <w:sz w:val="24"/>
          <w:szCs w:val="24"/>
          <w:lang w:val="lv-LV" w:eastAsia="lv-LV" w:bidi="lo-LA"/>
        </w:rPr>
        <w:t>0</w:t>
      </w:r>
      <w:r>
        <w:rPr>
          <w:rFonts w:eastAsia="Times New Roman" w:cs="Times New Roman"/>
          <w:sz w:val="24"/>
          <w:szCs w:val="24"/>
          <w:lang w:eastAsia="lv-LV" w:bidi="lo-LA"/>
        </w:rPr>
        <w:t xml:space="preserve"> (</w:t>
      </w:r>
      <w:r>
        <w:rPr>
          <w:rFonts w:eastAsia="Times New Roman" w:cs="Times New Roman"/>
          <w:color w:val="auto"/>
          <w:kern w:val="0"/>
          <w:sz w:val="24"/>
          <w:szCs w:val="24"/>
          <w:lang w:val="lv-LV" w:eastAsia="lv-LV" w:bidi="lo-LA"/>
        </w:rPr>
        <w:t>desmit</w:t>
      </w:r>
      <w:r>
        <w:rPr>
          <w:rFonts w:eastAsia="Times New Roman" w:cs="Times New Roman"/>
          <w:sz w:val="24"/>
          <w:szCs w:val="24"/>
          <w:lang w:eastAsia="lv-LV" w:bidi="lo-LA"/>
        </w:rPr>
        <w:t>) minūtes pēc piedāvājuma iesniegšanas termiņa beigām Komisijai jāiesniedz elektroniskā atslēga ar paroli šifrētā dokumenta atvēršanai.</w:t>
      </w:r>
    </w:p>
    <w:p>
      <w:pPr>
        <w:pStyle w:val="Normal"/>
        <w:widowControl w:val="false"/>
        <w:numPr>
          <w:ilvl w:val="0"/>
          <w:numId w:val="0"/>
        </w:numPr>
        <w:spacing w:lineRule="auto" w:line="240" w:before="0" w:after="0"/>
        <w:ind w:left="-567" w:right="57" w:hanging="0"/>
        <w:jc w:val="both"/>
        <w:rPr>
          <w:rFonts w:ascii="Times New Roman" w:hAnsi="Times New Roman" w:cs="Times New Roman"/>
          <w:sz w:val="24"/>
          <w:szCs w:val="24"/>
        </w:rPr>
      </w:pPr>
      <w:r>
        <w:rPr>
          <w:rFonts w:cs="Times New Roman"/>
          <w:sz w:val="24"/>
          <w:szCs w:val="24"/>
        </w:rPr>
      </w:r>
    </w:p>
    <w:p>
      <w:pPr>
        <w:pStyle w:val="Normal"/>
        <w:widowControl w:val="false"/>
        <w:numPr>
          <w:ilvl w:val="0"/>
          <w:numId w:val="3"/>
        </w:numPr>
        <w:overflowPunct w:val="false"/>
        <w:bidi w:val="0"/>
        <w:spacing w:before="0" w:after="0"/>
        <w:ind w:left="0" w:right="57" w:hanging="0"/>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Prasības piedāvājuma noformējumam:</w:t>
      </w:r>
    </w:p>
    <w:p>
      <w:pPr>
        <w:pStyle w:val="Default"/>
        <w:numPr>
          <w:ilvl w:val="1"/>
          <w:numId w:val="3"/>
        </w:numPr>
        <w:ind w:left="0" w:right="57" w:hanging="0"/>
        <w:jc w:val="both"/>
        <w:rPr/>
      </w:pPr>
      <w:r>
        <w:rPr/>
        <w:t>Pretendenta piedāvājuma dokumenti jāizstrādā elektroniski latviešu valodā (svešvalodā sagatavotiem piedāvājuma dokumentiem jāpievieno tulkojums latviešu valodā) un jānoformē saskaņā ar normatīvajiem aktiem, kas attiecas uz papīra un elektronisko dokumentu izstrādāšanu un noformēšanu;</w:t>
      </w:r>
    </w:p>
    <w:p>
      <w:pPr>
        <w:pStyle w:val="Default"/>
        <w:numPr>
          <w:ilvl w:val="1"/>
          <w:numId w:val="3"/>
        </w:numPr>
        <w:ind w:left="0" w:right="57" w:hanging="0"/>
        <w:jc w:val="both"/>
        <w:rPr/>
      </w:pPr>
      <w:r>
        <w:rPr/>
        <w:t xml:space="preserve">Ārvalstu publisko reģistru izsniegtos dokumentus Pretendents var iesniegt svešvalodā </w:t>
        <w:tab/>
        <w:t>ar pievienotu Pretendenta apliecinātu tulkojumu latviešu valodā. Par dokumentu tulkojuma atbilstību oriģinālam atbild Pretendents.</w:t>
      </w:r>
    </w:p>
    <w:p>
      <w:pPr>
        <w:pStyle w:val="Default"/>
        <w:numPr>
          <w:ilvl w:val="1"/>
          <w:numId w:val="3"/>
        </w:numPr>
        <w:ind w:left="0" w:right="57" w:hanging="0"/>
        <w:jc w:val="both"/>
        <w:rPr/>
      </w:pPr>
      <w:r>
        <w:rPr>
          <w:sz w:val="22"/>
          <w:szCs w:val="22"/>
          <w:lang w:val="lv-LV"/>
        </w:rPr>
        <w:t xml:space="preserve">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numPr>
          <w:ilvl w:val="1"/>
          <w:numId w:val="3"/>
        </w:numPr>
        <w:ind w:left="0" w:right="57" w:hanging="0"/>
        <w:jc w:val="both"/>
        <w:rPr/>
      </w:pPr>
      <w:r>
        <w:rPr/>
        <w:t xml:space="preserve">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pPr>
            <w:r>
              <w:rPr>
                <w:b/>
                <w:bCs/>
                <w:sz w:val="28"/>
                <w:szCs w:val="28"/>
              </w:rPr>
              <w:t>SIA “Dobeles enerģija”</w:t>
            </w:r>
          </w:p>
          <w:p>
            <w:pPr>
              <w:pStyle w:val="TableContents"/>
              <w:widowControl w:val="false"/>
              <w:spacing w:before="0" w:after="0"/>
              <w:jc w:val="center"/>
              <w:rPr/>
            </w:pPr>
            <w:r>
              <w:rPr/>
              <w:t>Iepirkuma procedūrai</w:t>
            </w:r>
          </w:p>
          <w:p>
            <w:pPr>
              <w:pStyle w:val="Normal"/>
              <w:widowControl w:val="false"/>
              <w:spacing w:lineRule="auto" w:line="240" w:before="0" w:after="0"/>
              <w:ind w:left="993" w:hanging="709"/>
              <w:jc w:val="center"/>
              <w:rPr/>
            </w:pPr>
            <w:r>
              <w:rPr>
                <w:rFonts w:cs="Times New Roman"/>
                <w:i/>
                <w:sz w:val="24"/>
                <w:szCs w:val="24"/>
              </w:rPr>
              <w:t>“</w:t>
            </w:r>
            <w:r>
              <w:rPr>
                <w:rFonts w:cs="Times New Roman"/>
                <w:i/>
                <w:sz w:val="24"/>
                <w:szCs w:val="24"/>
              </w:rPr>
              <w:t>Transprotlīdzekļa iegāde"</w:t>
            </w:r>
          </w:p>
          <w:p>
            <w:pPr>
              <w:pStyle w:val="Normal"/>
              <w:widowControl w:val="false"/>
              <w:spacing w:lineRule="auto" w:line="240" w:before="0" w:after="0"/>
              <w:ind w:left="993" w:hanging="709"/>
              <w:jc w:val="center"/>
              <w:rPr/>
            </w:pPr>
            <w:r>
              <w:rPr>
                <w:rFonts w:cs="Times New Roman"/>
                <w:b/>
                <w:bCs/>
                <w:i w:val="false"/>
                <w:iCs w:val="false"/>
                <w:sz w:val="24"/>
                <w:szCs w:val="24"/>
              </w:rPr>
              <w:t>ID NR. DE</w:t>
            </w:r>
            <w:r>
              <w:rPr>
                <w:rFonts w:cs="Times New Roman"/>
                <w:b/>
                <w:bCs/>
                <w:i w:val="false"/>
                <w:iCs w:val="false"/>
                <w:sz w:val="24"/>
                <w:szCs w:val="24"/>
                <w:shd w:fill="auto" w:val="clear"/>
              </w:rPr>
              <w:t xml:space="preserve"> 2024/10</w:t>
            </w:r>
          </w:p>
          <w:p>
            <w:pPr>
              <w:pStyle w:val="Normal"/>
              <w:widowControl w:val="false"/>
              <w:spacing w:lineRule="auto" w:line="240" w:before="0" w:after="0"/>
              <w:ind w:left="993" w:hanging="709"/>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0"/>
              <w:ind w:left="993" w:hanging="709"/>
              <w:jc w:val="center"/>
              <w:rPr/>
            </w:pPr>
            <w:r>
              <w:rPr>
                <w:rFonts w:cs="Times New Roman"/>
                <w:b/>
                <w:bCs/>
                <w:i/>
                <w:sz w:val="24"/>
                <w:szCs w:val="24"/>
                <w:u w:val="single"/>
              </w:rPr>
              <w:t>Neatvērt</w:t>
            </w:r>
            <w:r>
              <w:rPr>
                <w:rFonts w:cs="Times New Roman"/>
                <w:b/>
                <w:bCs/>
                <w:i/>
                <w:sz w:val="24"/>
                <w:szCs w:val="24"/>
                <w:u w:val="single"/>
                <w:shd w:fill="auto" w:val="clear"/>
              </w:rPr>
              <w:t xml:space="preserve"> līdz 2024.gada 28. augustam plkst. 10.00</w:t>
            </w:r>
          </w:p>
          <w:p>
            <w:pPr>
              <w:pStyle w:val="Normal"/>
              <w:widowControl w:val="false"/>
              <w:spacing w:lineRule="auto" w:line="240" w:before="0" w:after="0"/>
              <w:ind w:left="993" w:hanging="709"/>
              <w:jc w:val="center"/>
              <w:rPr/>
            </w:pPr>
            <w:r>
              <w:rPr>
                <w:rFonts w:cs="Times New Roman"/>
                <w:b/>
                <w:bCs/>
                <w:i/>
                <w:sz w:val="24"/>
                <w:szCs w:val="24"/>
              </w:rPr>
              <w:t>Pretendenta nosaukums</w:t>
            </w:r>
          </w:p>
        </w:tc>
      </w:tr>
    </w:tbl>
    <w:p>
      <w:pPr>
        <w:pStyle w:val="Default"/>
        <w:ind w:left="0" w:right="57" w:hanging="0"/>
        <w:jc w:val="both"/>
        <w:rPr/>
      </w:pPr>
      <w:r>
        <w:rPr/>
      </w:r>
    </w:p>
    <w:p>
      <w:pPr>
        <w:pStyle w:val="Default"/>
        <w:ind w:right="57" w:hanging="0"/>
        <w:jc w:val="both"/>
        <w:rPr/>
      </w:pPr>
      <w:r>
        <w:rPr/>
        <w:t xml:space="preserve">5.6.  Pa elektronisko pastu sūtot pieteikumus ir jānorāda – </w:t>
      </w:r>
      <w:r>
        <w:rPr>
          <w:b/>
          <w:bCs/>
          <w:i/>
          <w:iCs/>
          <w:color w:val="C9211E"/>
          <w:u w:val="single"/>
          <w:shd w:fill="auto" w:val="clear"/>
        </w:rPr>
        <w:t>Neatvērt līdz 2024.gada 28.</w:t>
      </w:r>
      <w:r>
        <w:rPr>
          <w:rFonts w:eastAsia="Times New Roman" w:cs="Times New Roman"/>
          <w:b/>
          <w:bCs/>
          <w:i/>
          <w:iCs/>
          <w:color w:val="C9211E"/>
          <w:kern w:val="0"/>
          <w:sz w:val="24"/>
          <w:szCs w:val="24"/>
          <w:u w:val="single"/>
          <w:shd w:fill="auto" w:val="clear"/>
          <w:lang w:val="lv-LV" w:eastAsia="lv-LV" w:bidi="ar-SA"/>
        </w:rPr>
        <w:t>augustam</w:t>
      </w:r>
      <w:r>
        <w:rPr>
          <w:b/>
          <w:bCs/>
          <w:i/>
          <w:iCs/>
          <w:color w:val="C9211E"/>
          <w:u w:val="single"/>
          <w:shd w:fill="auto" w:val="clear"/>
        </w:rPr>
        <w:t xml:space="preserve"> plkst. 10.00</w:t>
      </w:r>
      <w:r>
        <w:rPr>
          <w:b/>
          <w:bCs/>
          <w:color w:val="C9211E"/>
          <w:u w:val="single"/>
          <w:shd w:fill="auto" w:val="clear"/>
        </w:rPr>
        <w:t xml:space="preserve">. </w:t>
      </w:r>
      <w:r>
        <w:rPr>
          <w:shd w:fill="auto" w:val="clear"/>
        </w:rPr>
        <w:t xml:space="preserve">Pretendents ir tiesīgs uzstādīt </w:t>
      </w:r>
      <w:r>
        <w:rPr>
          <w:rFonts w:eastAsia="Times New Roman" w:cs="Times New Roman"/>
          <w:sz w:val="24"/>
          <w:szCs w:val="24"/>
          <w:shd w:fill="auto" w:val="clear"/>
          <w:lang w:eastAsia="lv-LV" w:bidi="lo-LA"/>
        </w:rPr>
        <w:t>piedāvājuma šifrēšanu.</w:t>
      </w:r>
    </w:p>
    <w:p>
      <w:pPr>
        <w:pStyle w:val="Default"/>
        <w:ind w:right="57" w:hanging="0"/>
        <w:jc w:val="both"/>
        <w:rPr/>
      </w:pPr>
      <w:r>
        <w:rPr>
          <w:sz w:val="22"/>
          <w:szCs w:val="22"/>
        </w:rPr>
        <w:t>5.7.  Pasūtītājs neatbild par tādu piedāvājumu priekšlaicīgu atvēršanu, kuri nav noformēti atbilstoši nolikuma 4. punktā minētajām prasībām vai neuzstādījuši piedāvājuma šifrēšanu.</w:t>
      </w:r>
    </w:p>
    <w:p>
      <w:pPr>
        <w:pStyle w:val="Default"/>
        <w:ind w:right="57" w:hanging="0"/>
        <w:jc w:val="both"/>
        <w:rPr>
          <w:sz w:val="22"/>
          <w:szCs w:val="22"/>
        </w:rPr>
      </w:pPr>
      <w:r>
        <w:rPr>
          <w:sz w:val="22"/>
          <w:szCs w:val="22"/>
        </w:rPr>
      </w:r>
    </w:p>
    <w:p>
      <w:pPr>
        <w:pStyle w:val="Normal"/>
        <w:numPr>
          <w:ilvl w:val="0"/>
          <w:numId w:val="3"/>
        </w:numPr>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Prasības Pretendentam:</w:t>
      </w:r>
    </w:p>
    <w:p>
      <w:pPr>
        <w:pStyle w:val="Normal"/>
        <w:numPr>
          <w:ilvl w:val="1"/>
          <w:numId w:val="3"/>
        </w:numPr>
        <w:jc w:val="both"/>
        <w:rPr/>
      </w:pPr>
      <w:r>
        <w:rPr>
          <w:rFonts w:cs="Arial"/>
          <w:lang w:val="lv-LV"/>
        </w:rPr>
        <w:t xml:space="preserve">Pretendentam jābūt reģistrētam Latvijas Republikas komercreģistrā vai attiecīgās valsts likumdošanā paredzētajā kārtībā ārvalstīs. </w:t>
      </w:r>
    </w:p>
    <w:p>
      <w:pPr>
        <w:pStyle w:val="Normal"/>
        <w:numPr>
          <w:ilvl w:val="1"/>
          <w:numId w:val="3"/>
        </w:numPr>
        <w:jc w:val="both"/>
        <w:rPr/>
      </w:pPr>
      <w:r>
        <w:rPr>
          <w:lang w:val="lv-LV"/>
        </w:rPr>
        <w:t>Pretendentam ir autorizētas tiesības pārdot iepirkumā piedāvātos transportlīdzekļus.</w:t>
      </w:r>
    </w:p>
    <w:p>
      <w:pPr>
        <w:pStyle w:val="Normal"/>
        <w:numPr>
          <w:ilvl w:val="1"/>
          <w:numId w:val="3"/>
        </w:numPr>
        <w:jc w:val="both"/>
        <w:rPr/>
      </w:pPr>
      <w:r>
        <w:rPr>
          <w:lang w:val="lv-LV"/>
        </w:rPr>
        <w:t>Jānodrošina vismaz minimālās prasības, kas minētas Tehniskajā specifikācijā.</w:t>
      </w:r>
    </w:p>
    <w:p>
      <w:pPr>
        <w:pStyle w:val="Normal"/>
        <w:numPr>
          <w:ilvl w:val="1"/>
          <w:numId w:val="3"/>
        </w:numPr>
        <w:jc w:val="both"/>
        <w:rPr/>
      </w:pPr>
      <w:r>
        <w:rPr>
          <w:rFonts w:eastAsia="Times New Roman" w:cs="Times New Roman"/>
          <w:lang w:eastAsia="lv-LV"/>
        </w:rPr>
        <w:t xml:space="preserve">Uz Pretendentu neattiecas </w:t>
      </w:r>
      <w:r>
        <w:rPr>
          <w:rFonts w:eastAsia="Times New Roman" w:cs="Times New Roman"/>
          <w:color w:val="auto"/>
          <w:kern w:val="0"/>
          <w:sz w:val="22"/>
          <w:szCs w:val="22"/>
          <w:lang w:val="lv-LV" w:eastAsia="lv-LV" w:bidi="ar-SA"/>
        </w:rPr>
        <w:t>Sabiedriskā pakalpojuma sniedzēja</w:t>
      </w:r>
      <w:r>
        <w:rPr>
          <w:rFonts w:eastAsia="Times New Roman" w:cs="Times New Roman"/>
          <w:lang w:eastAsia="lv-LV"/>
        </w:rPr>
        <w:t xml:space="preserve"> iepirkumu likuma 48. panta noteiktie pretendentu izslēgšanas noteikumi.</w:t>
      </w:r>
    </w:p>
    <w:p>
      <w:pPr>
        <w:pStyle w:val="Normal"/>
        <w:numPr>
          <w:ilvl w:val="0"/>
          <w:numId w:val="0"/>
        </w:numPr>
        <w:ind w:left="858" w:hanging="0"/>
        <w:jc w:val="both"/>
        <w:rPr/>
      </w:pPr>
      <w:r>
        <w:rPr/>
      </w:r>
    </w:p>
    <w:p>
      <w:pPr>
        <w:pStyle w:val="Normal"/>
        <w:numPr>
          <w:ilvl w:val="0"/>
          <w:numId w:val="3"/>
        </w:numPr>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Iesniedzamie dokumenti</w:t>
      </w:r>
    </w:p>
    <w:p>
      <w:pPr>
        <w:pStyle w:val="Normal"/>
        <w:numPr>
          <w:ilvl w:val="1"/>
          <w:numId w:val="3"/>
        </w:numPr>
        <w:jc w:val="both"/>
        <w:rPr/>
      </w:pPr>
      <w:r>
        <w:rPr>
          <w:szCs w:val="22"/>
          <w:lang w:val="lv-LV"/>
        </w:rPr>
        <w:t>Pretendentiem jāiesniedz šādi dokumenti:</w:t>
      </w:r>
    </w:p>
    <w:p>
      <w:pPr>
        <w:pStyle w:val="Normal"/>
        <w:numPr>
          <w:ilvl w:val="2"/>
          <w:numId w:val="3"/>
        </w:numPr>
        <w:jc w:val="both"/>
        <w:rPr/>
      </w:pPr>
      <w:r>
        <w:rPr>
          <w:b/>
          <w:bCs/>
          <w:szCs w:val="22"/>
          <w:lang w:val="lv-LV"/>
        </w:rPr>
        <w:t>Pieteikums</w:t>
      </w:r>
      <w:r>
        <w:rPr>
          <w:szCs w:val="22"/>
          <w:lang w:val="lv-LV"/>
        </w:rPr>
        <w:t xml:space="preserve"> iepirkumam (1.pielikums);</w:t>
      </w:r>
    </w:p>
    <w:p>
      <w:pPr>
        <w:pStyle w:val="Normal"/>
        <w:numPr>
          <w:ilvl w:val="2"/>
          <w:numId w:val="3"/>
        </w:numPr>
        <w:jc w:val="both"/>
        <w:rPr/>
      </w:pPr>
      <w:r>
        <w:rPr>
          <w:b/>
          <w:szCs w:val="22"/>
          <w:lang w:val="lv-LV"/>
        </w:rPr>
        <w:t>Tehnisko specifikāciju</w:t>
      </w:r>
      <w:r>
        <w:rPr>
          <w:bCs/>
          <w:szCs w:val="22"/>
          <w:lang w:val="lv-LV"/>
        </w:rPr>
        <w:t xml:space="preserve"> (</w:t>
      </w:r>
      <w:r>
        <w:rPr>
          <w:szCs w:val="22"/>
          <w:lang w:val="lv-LV"/>
        </w:rPr>
        <w:t>2. pielikums</w:t>
      </w:r>
      <w:r>
        <w:rPr>
          <w:bCs/>
          <w:szCs w:val="22"/>
          <w:lang w:val="lv-LV"/>
        </w:rPr>
        <w:t xml:space="preserve">) sagatavo un paraksta saskaņā ar  noteiktajām prasībām; </w:t>
      </w:r>
    </w:p>
    <w:p>
      <w:pPr>
        <w:pStyle w:val="Normal"/>
        <w:numPr>
          <w:ilvl w:val="2"/>
          <w:numId w:val="3"/>
        </w:numPr>
        <w:jc w:val="both"/>
        <w:rPr/>
      </w:pPr>
      <w:r>
        <w:rPr>
          <w:b/>
          <w:szCs w:val="22"/>
          <w:lang w:val="lv-LV"/>
        </w:rPr>
        <w:t>Finanšu piedāvājumam</w:t>
      </w:r>
      <w:r>
        <w:rPr>
          <w:bCs/>
          <w:szCs w:val="22"/>
          <w:lang w:val="lv-LV"/>
        </w:rPr>
        <w:t xml:space="preserve"> jāatbilst tehniskajai specifikācijai, un tas jāiesniedz atbilstoši Pasūtītāja izstrādātajai formai (3. pielikums );</w:t>
      </w:r>
    </w:p>
    <w:p>
      <w:pPr>
        <w:pStyle w:val="Normal"/>
        <w:numPr>
          <w:ilvl w:val="2"/>
          <w:numId w:val="3"/>
        </w:numPr>
        <w:jc w:val="both"/>
        <w:rPr/>
      </w:pPr>
      <w:r>
        <w:rPr>
          <w:bCs/>
          <w:szCs w:val="22"/>
          <w:lang w:val="lv-LV"/>
        </w:rPr>
        <w:t>Transportlīdzekļa sīkāka informācija par tehniskajiem parametriem (latviešu valodā);</w:t>
      </w:r>
    </w:p>
    <w:p>
      <w:pPr>
        <w:pStyle w:val="Normal"/>
        <w:numPr>
          <w:ilvl w:val="2"/>
          <w:numId w:val="3"/>
        </w:numPr>
        <w:jc w:val="both"/>
        <w:rPr/>
      </w:pPr>
      <w:r>
        <w:rPr>
          <w:bCs/>
          <w:szCs w:val="22"/>
          <w:lang w:val="lv-LV"/>
        </w:rPr>
        <w:t xml:space="preserve">Pretendentam jāiesniedz </w:t>
      </w:r>
      <w:r>
        <w:rPr>
          <w:b/>
          <w:bCs/>
          <w:szCs w:val="22"/>
          <w:lang w:val="lv-LV"/>
        </w:rPr>
        <w:t>garantijas apraksts</w:t>
      </w:r>
      <w:r>
        <w:rPr>
          <w:bCs/>
          <w:szCs w:val="22"/>
          <w:lang w:val="lv-LV"/>
        </w:rPr>
        <w:t xml:space="preserve"> (rūpnīcas garantijas termiņi un nosacījumi).</w:t>
      </w:r>
    </w:p>
    <w:p>
      <w:pPr>
        <w:pStyle w:val="Normal"/>
        <w:numPr>
          <w:ilvl w:val="0"/>
          <w:numId w:val="0"/>
        </w:numPr>
        <w:ind w:left="360" w:hanging="0"/>
        <w:jc w:val="both"/>
        <w:rPr>
          <w:rFonts w:ascii="Times New Roman" w:hAnsi="Times New Roman" w:eastAsia="Times New Roman" w:cs="Times New Roman"/>
          <w:b/>
          <w:bCs/>
          <w:caps/>
          <w:color w:val="000000"/>
          <w:sz w:val="24"/>
          <w:szCs w:val="22"/>
          <w:lang w:val="lv-LV" w:eastAsia="lv-LV" w:bidi="lo-LA"/>
        </w:rPr>
      </w:pPr>
      <w:r>
        <w:rPr>
          <w:rFonts w:eastAsia="Times New Roman" w:cs="Times New Roman"/>
          <w:b/>
          <w:bCs/>
          <w:caps/>
          <w:color w:val="000000"/>
          <w:sz w:val="24"/>
          <w:szCs w:val="22"/>
          <w:lang w:val="lv-LV" w:eastAsia="lv-LV" w:bidi="lo-LA"/>
        </w:rPr>
      </w:r>
    </w:p>
    <w:p>
      <w:pPr>
        <w:pStyle w:val="Normal"/>
        <w:numPr>
          <w:ilvl w:val="0"/>
          <w:numId w:val="3"/>
        </w:numPr>
        <w:jc w:val="both"/>
        <w:rPr/>
      </w:pPr>
      <w:r>
        <w:rPr>
          <w:rFonts w:eastAsia="Times New Roman" w:cs="Times New Roman"/>
          <w:b/>
          <w:caps/>
          <w:color w:val="000000"/>
          <w:sz w:val="24"/>
          <w:szCs w:val="24"/>
          <w:lang w:eastAsia="lv-LV" w:bidi="lo-LA"/>
        </w:rPr>
        <w:t>piedāvājumu atvēršana un pretendentu pārbaude</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val="lv-LV" w:eastAsia="lv-LV" w:bidi="lo-LA"/>
        </w:rPr>
        <w:t xml:space="preserve">Piedāvājumu atvēršana ir atklāta un notiks </w:t>
      </w:r>
      <w:r>
        <w:rPr>
          <w:rFonts w:eastAsia="Times New Roman" w:cs="Times New Roman"/>
          <w:b/>
          <w:bCs/>
          <w:color w:val="000000"/>
          <w:sz w:val="24"/>
          <w:szCs w:val="24"/>
          <w:lang w:val="lv-LV" w:eastAsia="lv-LV" w:bidi="lo-LA"/>
        </w:rPr>
        <w:t>2024.gada</w:t>
      </w:r>
      <w:r>
        <w:rPr>
          <w:rFonts w:eastAsia="Times New Roman" w:cs="Times New Roman"/>
          <w:b/>
          <w:bCs/>
          <w:color w:val="000000"/>
          <w:sz w:val="24"/>
          <w:szCs w:val="24"/>
          <w:shd w:fill="auto" w:val="clear"/>
          <w:lang w:val="lv-LV" w:eastAsia="lv-LV" w:bidi="lo-LA"/>
        </w:rPr>
        <w:t xml:space="preserve"> 28.augustā</w:t>
      </w:r>
      <w:r>
        <w:rPr>
          <w:rFonts w:eastAsia="Times New Roman" w:cs="Times New Roman"/>
          <w:b/>
          <w:bCs/>
          <w:color w:val="000000"/>
          <w:sz w:val="24"/>
          <w:szCs w:val="24"/>
          <w:lang w:val="lv-LV" w:eastAsia="lv-LV" w:bidi="lo-LA"/>
        </w:rPr>
        <w:t xml:space="preserve"> plkst. 10.00</w:t>
      </w:r>
      <w:r>
        <w:rPr>
          <w:rFonts w:eastAsia="Times New Roman" w:cs="Times New Roman"/>
          <w:color w:val="000000"/>
          <w:sz w:val="24"/>
          <w:szCs w:val="24"/>
          <w:lang w:val="lv-LV" w:eastAsia="lv-LV" w:bidi="lo-LA"/>
        </w:rPr>
        <w:t>. SIA „Dobeles</w:t>
      </w:r>
    </w:p>
    <w:p>
      <w:pPr>
        <w:pStyle w:val="Normal"/>
        <w:numPr>
          <w:ilvl w:val="0"/>
          <w:numId w:val="0"/>
        </w:numPr>
        <w:spacing w:lineRule="auto" w:line="240" w:before="0" w:after="0"/>
        <w:ind w:left="426" w:right="57" w:hanging="0"/>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val="lv-LV" w:eastAsia="lv-LV" w:bidi="lo-LA"/>
        </w:rPr>
        <w:t>enerģija” birojā.</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val="lv-LV" w:eastAsia="lv-LV" w:bidi="lo-LA"/>
        </w:rPr>
        <w:t xml:space="preserve">Piedāvājumus atver to iesniegšanas secībā, nosaucot pretendentu, piedāvājuma iesniegšanas laiku un piedāvāto cenu. </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Piedāvājuma pārbaudi Komisija veic slēgtā sēdē bez Pretendentu un to pārstāvju klātbūtnes.</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Piedāvājuma pārbaudi Komisija veic 5 (piecos) posmos. Ja Pretendenta iesniegtais piedāvājums neatbilst kādā no piedāvājuma pārbaudes posmu prasībām (izņemot 1. posmu, kur Komisija</w:t>
      </w:r>
      <w:r>
        <w:rPr>
          <w:rFonts w:eastAsia="Times New Roman" w:cs="Times New Roman"/>
          <w:color w:val="FF0000"/>
          <w:sz w:val="24"/>
          <w:szCs w:val="24"/>
          <w:lang w:eastAsia="lv-LV" w:bidi="lo-LA"/>
        </w:rPr>
        <w:t xml:space="preserve"> </w:t>
      </w:r>
      <w:r>
        <w:rPr>
          <w:rFonts w:eastAsia="Times New Roman" w:cs="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 xml:space="preserve">Lai izvērtētu, kuram no Pretendentiem pirms šķietami būtu piešķiramas Iepirkuma Līguma slēgšanas tiesības, proti, kurš saskaņā ar Iepirkuma nolikumā noteikto piedāvājuma izvēles kritēriju ir saimnieciski visizdevīgākais piedāvājums - </w:t>
      </w:r>
      <w:r>
        <w:rPr>
          <w:rFonts w:eastAsia="Times New Roman" w:cs="Times New Roman"/>
          <w:color w:val="000000"/>
          <w:sz w:val="24"/>
          <w:szCs w:val="24"/>
          <w:u w:val="single"/>
          <w:shd w:fill="auto" w:val="clear"/>
          <w:lang w:eastAsia="lv-LV" w:bidi="lo-LA"/>
        </w:rPr>
        <w:t>piedāvājums ar saimnieciski visizdevīgāko piedāvājumu,</w:t>
      </w:r>
      <w:r>
        <w:rPr>
          <w:rFonts w:eastAsia="Times New Roman" w:cs="Times New Roman"/>
          <w:color w:val="000000"/>
          <w:sz w:val="24"/>
          <w:szCs w:val="24"/>
          <w:lang w:eastAsia="lv-LV" w:bidi="lo-LA"/>
        </w:rPr>
        <w:t xml:space="preserve"> Komisija vispirms pārbauda, vai iesniegtajos finanšu piedāvājumos nav aritmētisko kļūdu. Ja tiek konstatētas šādas kļūdas, Komisija kļūdas izlabo.</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Pēc Pretendentu aritmētisko kļūdu pārbaudes finanšu piedāvājumā, Komisija turpmāk veic Pretendenta piedāvājuma vērtēšanu, atbilstoši noteiktajiem Piedāvājuma pārbaudes posmiem.</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bCs/>
          <w:sz w:val="24"/>
          <w:szCs w:val="24"/>
          <w:lang w:eastAsia="lv-LV" w:bidi="lo-LA"/>
        </w:rPr>
        <w:t xml:space="preserve"> </w:t>
      </w:r>
      <w:r>
        <w:rPr>
          <w:rFonts w:eastAsia="Times New Roman" w:cs="Times New Roman"/>
          <w:b/>
          <w:bCs/>
          <w:sz w:val="24"/>
          <w:szCs w:val="24"/>
          <w:lang w:eastAsia="lv-LV" w:bidi="lo-LA"/>
        </w:rPr>
        <w:t>Piedāvājuma pārbaudes posmi:</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1. posms </w:t>
      </w:r>
      <w:r>
        <w:rPr>
          <w:rFonts w:eastAsia="Times New Roman" w:cs="Times New Roman"/>
          <w:bCs/>
          <w:sz w:val="24"/>
          <w:szCs w:val="24"/>
          <w:lang w:eastAsia="lv-LV" w:bidi="lo-LA"/>
        </w:rPr>
        <w:t>– Piedāvājuma sagatavošanas un noformējuma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2. posms </w:t>
      </w:r>
      <w:r>
        <w:rPr>
          <w:rFonts w:eastAsia="Times New Roman" w:cs="Times New Roman"/>
          <w:bCs/>
          <w:sz w:val="24"/>
          <w:szCs w:val="24"/>
          <w:lang w:eastAsia="lv-LV" w:bidi="lo-LA"/>
        </w:rPr>
        <w:t>– Finanšu piedāvājuma atbilstības un nepamatoti lēta piedāvājuma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3. posms </w:t>
      </w:r>
      <w:r>
        <w:rPr>
          <w:rFonts w:eastAsia="Times New Roman" w:cs="Times New Roman"/>
          <w:bCs/>
          <w:sz w:val="24"/>
          <w:szCs w:val="24"/>
          <w:lang w:eastAsia="lv-LV" w:bidi="lo-LA"/>
        </w:rPr>
        <w:t>- Pretendenta atbilstības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4. posms </w:t>
      </w:r>
      <w:r>
        <w:rPr>
          <w:rFonts w:eastAsia="Times New Roman" w:cs="Times New Roman"/>
          <w:bCs/>
          <w:sz w:val="24"/>
          <w:szCs w:val="24"/>
          <w:lang w:eastAsia="lv-LV" w:bidi="lo-LA"/>
        </w:rPr>
        <w:t>– Tehniskā piedāvājuma atbilstības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bCs/>
          <w:sz w:val="24"/>
          <w:szCs w:val="24"/>
          <w:lang w:eastAsia="lv-LV" w:bidi="lo-LA"/>
        </w:rPr>
        <w:t>5. posms –</w:t>
      </w:r>
      <w:r>
        <w:rPr>
          <w:rFonts w:eastAsia="Times New Roman" w:cs="Times New Roman"/>
          <w:b w:val="false"/>
          <w:bCs w:val="false"/>
          <w:sz w:val="24"/>
          <w:szCs w:val="24"/>
          <w:lang w:eastAsia="lv-LV" w:bidi="lo-LA"/>
        </w:rPr>
        <w:t xml:space="preserve"> Izslēgšanas noteikumu pārbaude.</w:t>
      </w:r>
    </w:p>
    <w:p>
      <w:pPr>
        <w:pStyle w:val="Normal"/>
        <w:widowControl w:val="false"/>
        <w:numPr>
          <w:ilvl w:val="1"/>
          <w:numId w:val="3"/>
        </w:numPr>
        <w:suppressAutoHyphens w:val="true"/>
        <w:overflowPunct w:val="false"/>
        <w:bidi w:val="0"/>
        <w:spacing w:lineRule="auto" w:line="240" w:before="0" w:after="0"/>
        <w:ind w:left="57" w:right="57" w:hanging="0"/>
        <w:jc w:val="both"/>
        <w:rPr>
          <w:rFonts w:ascii="Times New Roman" w:hAnsi="Times New Roman" w:eastAsia="Times New Roman" w:cs="Times New Roman"/>
          <w:b/>
          <w:sz w:val="24"/>
          <w:szCs w:val="24"/>
          <w:lang w:eastAsia="lv-LV" w:bidi="lo-LA"/>
        </w:rPr>
      </w:pPr>
      <w:r>
        <w:rPr>
          <w:rFonts w:eastAsia="Times New Roman" w:cs="Times New Roman"/>
          <w:sz w:val="24"/>
          <w:szCs w:val="24"/>
          <w:lang w:eastAsia="lv-LV" w:bidi="lo-LA"/>
        </w:rPr>
        <w:t xml:space="preserve">Komisija no visiem 5 (pieciem) pārbaudes posmu atbilstošajiem piedāvājumiem nosaka saimnieciski visizdevīgāko piedāvājumu – </w:t>
      </w:r>
      <w:r>
        <w:rPr>
          <w:rFonts w:eastAsia="Times New Roman" w:cs="Times New Roman"/>
          <w:sz w:val="24"/>
          <w:szCs w:val="24"/>
          <w:u w:val="single"/>
          <w:lang w:eastAsia="lv-LV" w:bidi="lo-LA"/>
        </w:rPr>
        <w:t>piedāvājumu ar saimnieciski visizdevīgāko piedāvājumu</w:t>
      </w:r>
      <w:r>
        <w:rPr>
          <w:rFonts w:eastAsia="Times New Roman" w:cs="Times New Roman"/>
          <w:sz w:val="24"/>
          <w:szCs w:val="24"/>
          <w:lang w:eastAsia="lv-LV" w:bidi="lo-LA"/>
        </w:rPr>
        <w:t>.</w:t>
      </w:r>
    </w:p>
    <w:p>
      <w:pPr>
        <w:pStyle w:val="Normal"/>
        <w:widowControl w:val="false"/>
        <w:numPr>
          <w:ilvl w:val="1"/>
          <w:numId w:val="3"/>
        </w:numPr>
        <w:suppressAutoHyphens w:val="true"/>
        <w:overflowPunct w:val="false"/>
        <w:bidi w:val="0"/>
        <w:spacing w:lineRule="auto" w:line="240" w:before="0" w:after="0"/>
        <w:ind w:left="57" w:right="57" w:hanging="0"/>
        <w:jc w:val="both"/>
        <w:rPr>
          <w:rFonts w:ascii="Times New Roman" w:hAnsi="Times New Roman" w:eastAsia="Times New Roman" w:cs="Times New Roman"/>
          <w:b/>
          <w:sz w:val="24"/>
          <w:szCs w:val="24"/>
          <w:lang w:eastAsia="lv-LV" w:bidi="lo-LA"/>
        </w:rPr>
      </w:pPr>
      <w:r>
        <w:rPr>
          <w:rFonts w:eastAsia="Times New Roman" w:cs="Times New Roman"/>
          <w:sz w:val="24"/>
          <w:szCs w:val="24"/>
          <w:lang w:eastAsia="lv-LV" w:bidi="lo-LA"/>
        </w:rPr>
        <w:t xml:space="preserve">Komisija nodrošina piedāvājuma pārbaudes posma protokolēšanu. </w:t>
      </w:r>
    </w:p>
    <w:p>
      <w:pPr>
        <w:pStyle w:val="Normal"/>
        <w:widowControl w:val="false"/>
        <w:numPr>
          <w:ilvl w:val="1"/>
          <w:numId w:val="3"/>
        </w:numPr>
        <w:suppressAutoHyphens w:val="true"/>
        <w:overflowPunct w:val="false"/>
        <w:bidi w:val="0"/>
        <w:spacing w:lineRule="auto" w:line="240" w:before="0" w:after="0"/>
        <w:ind w:left="57" w:right="57" w:hanging="0"/>
        <w:jc w:val="both"/>
        <w:rPr>
          <w:rFonts w:ascii="Times New Roman" w:hAnsi="Times New Roman" w:eastAsia="Times New Roman" w:cs="Times New Roman"/>
          <w:b/>
          <w:sz w:val="24"/>
          <w:szCs w:val="24"/>
          <w:lang w:eastAsia="lv-LV" w:bidi="lo-LA"/>
        </w:rPr>
      </w:pPr>
      <w:r>
        <w:rPr>
          <w:rFonts w:eastAsia="Times New Roman" w:cs="Times New Roman"/>
          <w:bCs/>
          <w:color w:val="000000"/>
          <w:sz w:val="24"/>
          <w:szCs w:val="24"/>
          <w:lang w:val="lv-LV" w:eastAsia="lv-LV" w:bidi="lo-LA"/>
        </w:rPr>
        <w:t>Piedāvājuma pārbaudes laikā, līdz rezultātu paziņošanai Pasūtītājs nesniedz informāciju par vērtēšanas procesu.</w:t>
      </w:r>
    </w:p>
    <w:p>
      <w:pPr>
        <w:pStyle w:val="Normal"/>
        <w:numPr>
          <w:ilvl w:val="0"/>
          <w:numId w:val="0"/>
        </w:numPr>
        <w:spacing w:lineRule="auto" w:line="240" w:before="0" w:after="0"/>
        <w:ind w:left="0"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r>
    </w:p>
    <w:p>
      <w:pPr>
        <w:pStyle w:val="Normal"/>
        <w:numPr>
          <w:ilvl w:val="0"/>
          <w:numId w:val="3"/>
        </w:numPr>
        <w:spacing w:lineRule="auto" w:line="240" w:before="0" w:after="0"/>
        <w:ind w:left="360" w:right="57" w:hanging="0"/>
        <w:jc w:val="both"/>
        <w:rPr>
          <w:rFonts w:ascii="Times New Roman" w:hAnsi="Times New Roman" w:eastAsia="Times New Roman" w:cs="Times New Roman"/>
          <w:b/>
          <w:sz w:val="24"/>
          <w:szCs w:val="24"/>
          <w:lang w:eastAsia="lv-LV" w:bidi="lo-LA"/>
        </w:rPr>
      </w:pPr>
      <w:r>
        <w:rPr>
          <w:rFonts w:eastAsia="Times New Roman" w:cs="Times New Roman"/>
          <w:b/>
          <w:bCs/>
          <w:color w:val="000000"/>
          <w:sz w:val="24"/>
          <w:szCs w:val="24"/>
          <w:lang w:eastAsia="lv-LV" w:bidi="lo-LA"/>
        </w:rPr>
        <w:t>IZSLĒGŠANAS NOTEIKUMU PĀRBAUDE</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 xml:space="preserve">9.1. </w:t>
      </w:r>
      <w:bookmarkStart w:id="8" w:name="_Hlk22650617"/>
      <w:r>
        <w:rPr>
          <w:rFonts w:eastAsia="Times New Roman" w:cs="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
    </w:p>
    <w:p>
      <w:pPr>
        <w:pStyle w:val="Normal"/>
        <w:widowControl w:val="false"/>
        <w:suppressAutoHyphens w:val="true"/>
        <w:spacing w:lineRule="auto" w:line="240" w:before="0" w:after="0"/>
        <w:ind w:right="282" w:hanging="0"/>
        <w:jc w:val="right"/>
        <w:rPr>
          <w:rFonts w:ascii="Times New Roman" w:hAnsi="Times New Roman" w:cs="Times New Roman"/>
          <w:bCs/>
          <w:sz w:val="24"/>
          <w:szCs w:val="24"/>
        </w:rPr>
      </w:pPr>
      <w:r>
        <w:rPr>
          <w:rFonts w:cs="Times New Roman"/>
          <w:bCs/>
          <w:sz w:val="24"/>
          <w:szCs w:val="24"/>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lang w:eastAsia="lv-LV"/>
              </w:rPr>
            </w:pPr>
            <w:r>
              <w:rPr>
                <w:rFonts w:eastAsia="Times New Roman" w:cs="Times New Roman"/>
                <w:b/>
                <w:lang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color w:val="000000"/>
                <w:lang w:eastAsia="lv-LV"/>
              </w:rPr>
            </w:pPr>
            <w:r>
              <w:rPr>
                <w:rFonts w:eastAsia="Times New Roman" w:cs="Times New Roman"/>
                <w:b/>
                <w:color w:val="000000"/>
                <w:lang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t xml:space="preserve">9.2. Uz Pretendentu neattiecas </w:t>
            </w:r>
            <w:r>
              <w:rPr>
                <w:rFonts w:eastAsia="Times New Roman" w:cs="Times New Roman"/>
                <w:color w:val="auto"/>
                <w:kern w:val="0"/>
                <w:sz w:val="22"/>
                <w:szCs w:val="22"/>
                <w:lang w:val="lv-LV" w:eastAsia="lv-LV" w:bidi="ar-SA"/>
              </w:rPr>
              <w:t>Sabiedriskā pakalpojuma sniedzēja</w:t>
            </w:r>
            <w:r>
              <w:rPr>
                <w:rFonts w:eastAsia="Times New Roman" w:cs="Times New Roman"/>
                <w:lang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color w:val="0070C0"/>
                <w:lang w:eastAsia="lv-LV"/>
              </w:rPr>
              <w:t xml:space="preserve">!!! </w:t>
            </w:r>
            <w:r>
              <w:rPr>
                <w:rFonts w:eastAsia="Times New Roman" w:cs="Times New Roman"/>
                <w:lang w:eastAsia="lv-LV"/>
              </w:rPr>
              <w:t xml:space="preserve">Atgādinām, ka saskaņā ar </w:t>
            </w:r>
            <w:r>
              <w:rPr>
                <w:rFonts w:eastAsia="Times New Roman" w:cs="Times New Roman"/>
                <w:color w:val="auto"/>
                <w:kern w:val="0"/>
                <w:sz w:val="22"/>
                <w:szCs w:val="22"/>
                <w:lang w:val="lv-LV" w:eastAsia="lv-LV" w:bidi="ar-SA"/>
              </w:rPr>
              <w:t>Sabiedriskā pakalpojuma sniedzēja</w:t>
            </w:r>
            <w:r>
              <w:rPr>
                <w:rFonts w:eastAsia="Times New Roman" w:cs="Times New Roman"/>
                <w:lang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lang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lang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right="0" w:hanging="0"/>
              <w:jc w:val="both"/>
              <w:rPr>
                <w:rFonts w:ascii="Times New Roman" w:hAnsi="Times New Roman" w:eastAsia="Times New Roman" w:cs="Times New Roman"/>
                <w:color w:val="000000"/>
                <w:lang w:eastAsia="lv-LV"/>
              </w:rPr>
            </w:pPr>
            <w:r>
              <w:rPr>
                <w:rFonts w:eastAsia="Times New Roman" w:cs="Times New Roman"/>
                <w:lang w:eastAsia="lv-LV"/>
              </w:rPr>
              <w:t xml:space="preserve">Iepirkuma komisija attiecībā uz Pretendentu pārbauda publiski pieejamo informāciju VID  publiskojamā datu bāzē - </w:t>
            </w:r>
            <w:hyperlink r:id="rId4">
              <w:r>
                <w:rPr>
                  <w:rStyle w:val="InternetLink"/>
                  <w:rFonts w:eastAsia="Times New Roman" w:cs="Times New Roman"/>
                  <w:lang w:eastAsia="lv-LV"/>
                </w:rPr>
                <w:t>https://www6.vid.gov.lv/</w:t>
              </w:r>
            </w:hyperlink>
            <w:r>
              <w:rPr>
                <w:rFonts w:eastAsia="Times New Roman" w:cs="Times New Roman"/>
                <w:lang w:eastAsia="lv-LV"/>
              </w:rPr>
              <w:t xml:space="preserve"> un Latvijas Valsts Uzņēmuma reģistra datu bāzē - </w:t>
            </w:r>
            <w:r>
              <w:fldChar w:fldCharType="begin"/>
            </w:r>
            <w:r>
              <w:rPr>
                <w:rStyle w:val="InternetLink"/>
                <w:rFonts w:eastAsia="Times New Roman" w:cs="Times New Roman"/>
                <w:lang w:eastAsia="lv-LV"/>
              </w:rPr>
              <w:instrText xml:space="preserve"> HYPERLINK "https://info.ur.gov.lv/" \l "/data-search"</w:instrText>
            </w:r>
            <w:r>
              <w:rPr>
                <w:rStyle w:val="InternetLink"/>
                <w:rFonts w:eastAsia="Times New Roman" w:cs="Times New Roman"/>
                <w:lang w:eastAsia="lv-LV"/>
              </w:rPr>
              <w:fldChar w:fldCharType="separate"/>
            </w:r>
            <w:r>
              <w:rPr>
                <w:rStyle w:val="InternetLink"/>
                <w:rFonts w:eastAsia="Times New Roman" w:cs="Times New Roman"/>
                <w:lang w:eastAsia="lv-LV"/>
              </w:rPr>
              <w:t>https://info.ur.gov.lv/#/data-search</w:t>
            </w:r>
            <w:r>
              <w:rPr>
                <w:rStyle w:val="InternetLink"/>
                <w:rFonts w:eastAsia="Times New Roman" w:cs="Times New Roman"/>
                <w:lang w:eastAsia="lv-LV"/>
              </w:rPr>
              <w:fldChar w:fldCharType="end"/>
            </w:r>
            <w:r>
              <w:rPr>
                <w:rFonts w:eastAsia="Times New Roman" w:cs="Times New Roman"/>
                <w:lang w:eastAsia="lv-LV"/>
              </w:rPr>
              <w:t>.</w:t>
            </w:r>
          </w:p>
          <w:p>
            <w:pPr>
              <w:pStyle w:val="Normal"/>
              <w:widowControl w:val="false"/>
              <w:spacing w:lineRule="auto" w:line="240" w:before="0" w:after="0"/>
              <w:ind w:left="26" w:right="0" w:hanging="0"/>
              <w:jc w:val="both"/>
              <w:rPr>
                <w:rFonts w:eastAsia="Times New Roman" w:cs="Times New Roman"/>
                <w:color w:val="000000"/>
                <w:lang w:eastAsia="lv-LV"/>
              </w:rPr>
            </w:pPr>
            <w:r>
              <w:rPr>
                <w:rFonts w:eastAsia="Times New Roman" w:cs="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color w:val="000000"/>
                <w:lang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t>9.3.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color w:val="000000"/>
                <w:lang w:eastAsia="lv-LV"/>
              </w:rPr>
              <w:t>Pasūtītājs par Pretendentam attiecinātām sankcijām, kas varētu ietekmēt Līguma izpildi, pārbauda:</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color w:val="000000"/>
                <w:lang w:eastAsia="lv-LV"/>
              </w:rPr>
              <w:t>1.</w:t>
              <w:tab/>
              <w:t xml:space="preserve">Visu ANO, ES, Latvijas nacionālo un ASV sankciju datubāzē </w:t>
            </w:r>
            <w:hyperlink r:id="rId5">
              <w:r>
                <w:rPr>
                  <w:rStyle w:val="InternetLink"/>
                  <w:rFonts w:eastAsia="Times New Roman" w:cs="Times New Roman"/>
                  <w:color w:val="000000"/>
                  <w:lang w:eastAsia="lv-LV"/>
                </w:rPr>
                <w:t>Sanctions lists | Financial Intelligence Service (fid.gov.lv)</w:t>
              </w:r>
            </w:hyperlink>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color w:val="000000"/>
                <w:lang w:eastAsia="lv-LV"/>
              </w:rPr>
              <w:t>2.</w:t>
              <w:tab/>
              <w:t xml:space="preserve">Eiropas Komisijas Sankciju karte – ES un ANO noteikto sankciju apkopojums </w:t>
            </w:r>
            <w:r>
              <w:fldChar w:fldCharType="begin"/>
            </w:r>
            <w:r>
              <w:rPr>
                <w:rStyle w:val="InternetLink"/>
                <w:rFonts w:eastAsia="Times New Roman" w:cs="Times New Roman"/>
                <w:lang w:eastAsia="lv-LV"/>
              </w:rPr>
              <w:instrText xml:space="preserve"> HYPERLINK "https://www.sanctionsmap.eu/" \l "/main"</w:instrText>
            </w:r>
            <w:r>
              <w:rPr>
                <w:rStyle w:val="InternetLink"/>
                <w:rFonts w:eastAsia="Times New Roman" w:cs="Times New Roman"/>
                <w:lang w:eastAsia="lv-LV"/>
              </w:rPr>
              <w:fldChar w:fldCharType="separate"/>
            </w:r>
            <w:r>
              <w:rPr>
                <w:rStyle w:val="InternetLink"/>
                <w:rFonts w:eastAsia="Times New Roman" w:cs="Times New Roman"/>
                <w:lang w:eastAsia="lv-LV"/>
              </w:rPr>
              <w:t>https://www.sanctionsmap.eu/#/main</w:t>
            </w:r>
            <w:r>
              <w:rPr>
                <w:rStyle w:val="InternetLink"/>
                <w:rFonts w:eastAsia="Times New Roman" w:cs="Times New Roman"/>
                <w:lang w:eastAsia="lv-LV"/>
              </w:rPr>
              <w:fldChar w:fldCharType="end"/>
            </w:r>
            <w:r>
              <w:rPr>
                <w:rFonts w:eastAsia="Times New Roman" w:cs="Times New Roman"/>
                <w:color w:val="000000"/>
                <w:lang w:eastAsia="lv-LV"/>
              </w:rPr>
              <w:t>;</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color w:val="000000"/>
                <w:lang w:eastAsia="lv-LV"/>
              </w:rPr>
              <w:t>3.</w:t>
              <w:tab/>
              <w:t xml:space="preserve">ASV noteikto sankciju datubāze - </w:t>
            </w:r>
            <w:hyperlink r:id="rId6">
              <w:r>
                <w:rPr>
                  <w:rStyle w:val="InternetLink"/>
                  <w:rFonts w:eastAsia="Times New Roman" w:cs="Times New Roman"/>
                  <w:lang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bCs/>
          <w:color w:val="000000"/>
          <w:sz w:val="24"/>
          <w:szCs w:val="24"/>
          <w:lang w:val="lv-LV" w:eastAsia="lv-LV" w:bidi="lo-LA"/>
        </w:rPr>
        <w:t>9.4.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ind w:hanging="0"/>
        <w:jc w:val="both"/>
        <w:rPr/>
      </w:pPr>
      <w:r>
        <w:rPr/>
      </w:r>
    </w:p>
    <w:p>
      <w:pPr>
        <w:pStyle w:val="Normal"/>
        <w:numPr>
          <w:ilvl w:val="0"/>
          <w:numId w:val="3"/>
        </w:numPr>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Piedāvājuma vērtēšana un lēmuma pieņemšana</w:t>
      </w:r>
    </w:p>
    <w:p>
      <w:pPr>
        <w:pStyle w:val="ListParagraph"/>
        <w:numPr>
          <w:ilvl w:val="1"/>
          <w:numId w:val="3"/>
        </w:numPr>
        <w:rPr/>
      </w:pPr>
      <w:r>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pPr>
        <w:pStyle w:val="ListParagraph"/>
        <w:numPr>
          <w:ilvl w:val="1"/>
          <w:numId w:val="3"/>
        </w:numPr>
        <w:rPr/>
      </w:pPr>
      <w:r>
        <w:rPr>
          <w:b/>
          <w:bCs/>
        </w:rPr>
        <w:t xml:space="preserve">Tiesības noslēgt Līgumu ar pasūtītāju tiks piešķirtas piedāvājumam, kas </w:t>
      </w:r>
      <w:r>
        <w:rPr>
          <w:b/>
          <w:bCs/>
          <w:u w:val="single"/>
        </w:rPr>
        <w:t>atbilst Nolikuma un Tehniskās specifikācijas obligātajām prasībām (tabula Nr.1), kā arī</w:t>
      </w:r>
      <w:r>
        <w:rPr>
          <w:b/>
          <w:bCs/>
        </w:rPr>
        <w:t xml:space="preserve"> </w:t>
      </w:r>
      <w:r>
        <w:rPr>
          <w:b/>
          <w:bCs/>
          <w:u w:val="single"/>
        </w:rPr>
        <w:t>saimnieciski visizdevīgākais piedāvājums.</w:t>
      </w:r>
    </w:p>
    <w:p>
      <w:pPr>
        <w:pStyle w:val="Normal"/>
        <w:numPr>
          <w:ilvl w:val="1"/>
          <w:numId w:val="3"/>
        </w:numPr>
        <w:rPr>
          <w:highlight w:val="none"/>
          <w:shd w:fill="auto" w:val="clear"/>
        </w:rPr>
      </w:pPr>
      <w:r>
        <w:rPr>
          <w:shd w:fill="auto" w:val="clear"/>
        </w:rPr>
        <w:t xml:space="preserve">Saimnieciski visizdevīgākā piedāvājuma vērtēšanas kritēriji un to skaitliskās </w:t>
      </w:r>
    </w:p>
    <w:tbl>
      <w:tblPr>
        <w:tblW w:w="9540" w:type="dxa"/>
        <w:jc w:val="left"/>
        <w:tblInd w:w="134" w:type="dxa"/>
        <w:tblLayout w:type="fixed"/>
        <w:tblCellMar>
          <w:top w:w="0" w:type="dxa"/>
          <w:left w:w="68" w:type="dxa"/>
          <w:bottom w:w="0" w:type="dxa"/>
          <w:right w:w="108" w:type="dxa"/>
        </w:tblCellMar>
      </w:tblPr>
      <w:tblGrid>
        <w:gridCol w:w="1600"/>
        <w:gridCol w:w="5370"/>
        <w:gridCol w:w="2570"/>
      </w:tblGrid>
      <w:tr>
        <w:trPr/>
        <w:tc>
          <w:tcPr>
            <w:tcW w:w="1600" w:type="dxa"/>
            <w:tcBorders>
              <w:top w:val="single" w:sz="4" w:space="0" w:color="000001"/>
              <w:left w:val="single" w:sz="4" w:space="0" w:color="000001"/>
              <w:bottom w:val="single" w:sz="4" w:space="0" w:color="000001"/>
            </w:tcBorders>
            <w:shd w:fill="auto" w:val="clear"/>
          </w:tcPr>
          <w:p>
            <w:pPr>
              <w:pStyle w:val="Normal"/>
              <w:widowControl w:val="false"/>
              <w:numPr>
                <w:ilvl w:val="0"/>
                <w:numId w:val="0"/>
              </w:numPr>
              <w:suppressAutoHyphens w:val="true"/>
              <w:overflowPunct w:val="false"/>
              <w:bidi w:val="0"/>
              <w:spacing w:before="0" w:after="0"/>
              <w:ind w:left="-57" w:right="0" w:hanging="0"/>
              <w:jc w:val="left"/>
              <w:rPr/>
            </w:pPr>
            <w:r>
              <w:rPr>
                <w:b/>
                <w:szCs w:val="22"/>
              </w:rPr>
              <w:t>Kritēriju numerācija</w:t>
            </w:r>
          </w:p>
        </w:tc>
        <w:tc>
          <w:tcPr>
            <w:tcW w:w="5370" w:type="dxa"/>
            <w:tcBorders>
              <w:top w:val="single" w:sz="4" w:space="0" w:color="000001"/>
              <w:left w:val="single" w:sz="4" w:space="0" w:color="000001"/>
              <w:bottom w:val="single" w:sz="4" w:space="0" w:color="000001"/>
            </w:tcBorders>
            <w:shd w:fill="auto" w:val="clear"/>
          </w:tcPr>
          <w:p>
            <w:pPr>
              <w:pStyle w:val="Normal"/>
              <w:widowControl w:val="false"/>
              <w:numPr>
                <w:ilvl w:val="0"/>
                <w:numId w:val="0"/>
              </w:numPr>
              <w:ind w:left="360" w:hanging="0"/>
              <w:jc w:val="left"/>
              <w:rPr>
                <w:b/>
                <w:szCs w:val="22"/>
              </w:rPr>
            </w:pPr>
            <w:r>
              <w:rPr>
                <w:b/>
                <w:szCs w:val="22"/>
              </w:rPr>
              <w:t>Vērtēšanas kritēriji</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numPr>
                <w:ilvl w:val="0"/>
                <w:numId w:val="0"/>
              </w:numPr>
              <w:ind w:left="360" w:hanging="0"/>
              <w:jc w:val="left"/>
              <w:rPr>
                <w:b/>
                <w:szCs w:val="22"/>
              </w:rPr>
            </w:pPr>
            <w:r>
              <w:rPr>
                <w:b/>
                <w:szCs w:val="22"/>
              </w:rPr>
              <w:t>Maksimālais punktu skaits</w:t>
            </w:r>
          </w:p>
        </w:tc>
      </w:tr>
      <w:tr>
        <w:trPr>
          <w:trHeight w:val="251" w:hRule="atLeast"/>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1.</w:t>
            </w:r>
          </w:p>
        </w:tc>
        <w:tc>
          <w:tcPr>
            <w:tcW w:w="5370"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Kopējā automašīnu cena (bez PVN)</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rFonts w:ascii="Times New Roman" w:hAnsi="Times New Roman" w:eastAsia="Andale Sans UI" w:cs="Tahoma"/>
                <w:bCs/>
                <w:color w:val="00000A"/>
                <w:kern w:val="2"/>
                <w:sz w:val="24"/>
                <w:szCs w:val="22"/>
                <w:lang w:val="zxx" w:eastAsia="zxx" w:bidi="zxx"/>
              </w:rPr>
            </w:pPr>
            <w:r>
              <w:rPr>
                <w:rFonts w:eastAsia="Andale Sans UI" w:cs="Tahoma"/>
                <w:bCs/>
                <w:color w:val="00000A"/>
                <w:kern w:val="2"/>
                <w:sz w:val="24"/>
                <w:szCs w:val="22"/>
                <w:lang w:val="zxx" w:eastAsia="zxx" w:bidi="zxx"/>
              </w:rPr>
              <w:t>85</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2.</w:t>
            </w:r>
          </w:p>
        </w:tc>
        <w:tc>
          <w:tcPr>
            <w:tcW w:w="5370"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Tehniskie kritēriji</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15</w:t>
            </w:r>
          </w:p>
        </w:tc>
      </w:tr>
      <w:tr>
        <w:trPr>
          <w:trHeight w:val="211" w:hRule="atLeast"/>
        </w:trPr>
        <w:tc>
          <w:tcPr>
            <w:tcW w:w="1600" w:type="dxa"/>
            <w:tcBorders>
              <w:top w:val="single" w:sz="4" w:space="0" w:color="000001"/>
              <w:left w:val="single" w:sz="4" w:space="0" w:color="000001"/>
              <w:bottom w:val="single" w:sz="4" w:space="0" w:color="000001"/>
            </w:tcBorders>
            <w:shd w:fill="auto" w:val="clear"/>
          </w:tcPr>
          <w:p>
            <w:pPr>
              <w:pStyle w:val="Normal"/>
              <w:widowControl w:val="false"/>
              <w:snapToGrid w:val="false"/>
              <w:jc w:val="left"/>
              <w:rPr>
                <w:b/>
                <w:bCs/>
                <w:szCs w:val="22"/>
              </w:rPr>
            </w:pPr>
            <w:r>
              <w:rPr>
                <w:b/>
                <w:bCs/>
                <w:szCs w:val="22"/>
              </w:rPr>
            </w:r>
          </w:p>
        </w:tc>
        <w:tc>
          <w:tcPr>
            <w:tcW w:w="5370"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t.sk.</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jc w:val="left"/>
              <w:rPr>
                <w:bCs/>
                <w:szCs w:val="22"/>
              </w:rPr>
            </w:pPr>
            <w:r>
              <w:rPr>
                <w:bCs/>
                <w:szCs w:val="22"/>
              </w:rPr>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2.1.</w:t>
            </w:r>
          </w:p>
        </w:tc>
        <w:tc>
          <w:tcPr>
            <w:tcW w:w="5370" w:type="dxa"/>
            <w:tcBorders>
              <w:top w:val="single" w:sz="4" w:space="0" w:color="000001"/>
              <w:left w:val="single" w:sz="4" w:space="0" w:color="000001"/>
              <w:bottom w:val="single" w:sz="4" w:space="0" w:color="000001"/>
            </w:tcBorders>
            <w:shd w:fill="auto" w:val="clear"/>
          </w:tcPr>
          <w:p>
            <w:pPr>
              <w:pStyle w:val="Normal"/>
              <w:widowControl w:val="false"/>
              <w:jc w:val="left"/>
              <w:rPr/>
            </w:pPr>
            <w:r>
              <w:rPr>
                <w:szCs w:val="22"/>
              </w:rPr>
              <w:t>Garantija</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3</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2.2.</w:t>
            </w:r>
          </w:p>
        </w:tc>
        <w:tc>
          <w:tcPr>
            <w:tcW w:w="5370" w:type="dxa"/>
            <w:tcBorders>
              <w:top w:val="single" w:sz="4" w:space="0" w:color="000001"/>
              <w:left w:val="single" w:sz="4" w:space="0" w:color="000001"/>
              <w:bottom w:val="single" w:sz="4" w:space="0" w:color="000001"/>
            </w:tcBorders>
            <w:shd w:fill="auto" w:val="clear"/>
          </w:tcPr>
          <w:p>
            <w:pPr>
              <w:pStyle w:val="Normal"/>
              <w:widowControl w:val="false"/>
              <w:jc w:val="left"/>
              <w:rPr/>
            </w:pPr>
            <w:r>
              <w:rPr>
                <w:szCs w:val="22"/>
              </w:rPr>
              <w:t>Motora jauda (zs)</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2</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2.3.</w:t>
            </w:r>
          </w:p>
        </w:tc>
        <w:tc>
          <w:tcPr>
            <w:tcW w:w="5370"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Andale Sans UI" w:cs="Tahoma"/>
                <w:color w:val="00000A"/>
                <w:kern w:val="2"/>
                <w:sz w:val="24"/>
                <w:szCs w:val="22"/>
                <w:lang w:val="lv-LV" w:eastAsia="zxx" w:bidi="zxx"/>
              </w:rPr>
            </w:pPr>
            <w:r>
              <w:rPr>
                <w:rFonts w:eastAsia="Andale Sans UI" w:cs="Tahoma"/>
                <w:color w:val="00000A"/>
                <w:kern w:val="2"/>
                <w:sz w:val="24"/>
                <w:szCs w:val="22"/>
                <w:lang w:val="lv-LV" w:eastAsia="zxx" w:bidi="zxx"/>
              </w:rPr>
              <w:t>Piegādes laiks</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3</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2.4.</w:t>
            </w:r>
          </w:p>
        </w:tc>
        <w:tc>
          <w:tcPr>
            <w:tcW w:w="5370"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rFonts w:eastAsia="Andale Sans UI" w:cs="Tahoma"/>
                <w:color w:val="00000A"/>
                <w:kern w:val="2"/>
                <w:sz w:val="24"/>
                <w:szCs w:val="22"/>
                <w:lang w:val="lv-LV" w:eastAsia="zxx" w:bidi="zxx"/>
              </w:rPr>
              <w:t>Priekšējie logu tīrītāji ar lietus sensoru</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1</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2.5.</w:t>
            </w:r>
          </w:p>
        </w:tc>
        <w:tc>
          <w:tcPr>
            <w:tcW w:w="5370"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rFonts w:eastAsia="Andale Sans UI" w:cs="Tahoma"/>
                <w:color w:val="00000A"/>
                <w:kern w:val="2"/>
                <w:sz w:val="24"/>
                <w:szCs w:val="22"/>
                <w:shd w:fill="auto" w:val="clear"/>
                <w:lang w:val="lv-LV" w:eastAsia="zxx" w:bidi="zxx"/>
              </w:rPr>
              <w:t>Navigācijas sistēma</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2</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2.7.</w:t>
            </w:r>
          </w:p>
        </w:tc>
        <w:tc>
          <w:tcPr>
            <w:tcW w:w="5370"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rFonts w:eastAsia="Andale Sans UI" w:cs="Tahoma"/>
                <w:color w:val="00000A"/>
                <w:kern w:val="2"/>
                <w:sz w:val="24"/>
                <w:szCs w:val="22"/>
                <w:lang w:val="lv-LV" w:eastAsia="zxx" w:bidi="zxx"/>
              </w:rPr>
              <w:t>Distances sensori priekšā un aizmugurē</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2</w:t>
            </w:r>
          </w:p>
        </w:tc>
      </w:tr>
      <w:tr>
        <w:trPr/>
        <w:tc>
          <w:tcPr>
            <w:tcW w:w="1600"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2.8.</w:t>
            </w:r>
          </w:p>
        </w:tc>
        <w:tc>
          <w:tcPr>
            <w:tcW w:w="5370"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rFonts w:eastAsia="Andale Sans UI" w:cs="Tahoma"/>
                <w:color w:val="00000A"/>
                <w:kern w:val="2"/>
                <w:sz w:val="24"/>
                <w:szCs w:val="22"/>
                <w:lang w:val="lv-LV" w:eastAsia="zxx" w:bidi="zxx"/>
              </w:rPr>
              <w:t>Pasīvā “aklo” zonu uzraudzības sistēma</w:t>
            </w:r>
          </w:p>
        </w:tc>
        <w:tc>
          <w:tcPr>
            <w:tcW w:w="257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t>2</w:t>
            </w:r>
          </w:p>
        </w:tc>
      </w:tr>
    </w:tbl>
    <w:p>
      <w:pPr>
        <w:pStyle w:val="Normal"/>
        <w:widowControl w:val="false"/>
        <w:numPr>
          <w:ilvl w:val="2"/>
          <w:numId w:val="3"/>
        </w:numPr>
        <w:overflowPunct w:val="true"/>
        <w:bidi w:val="0"/>
        <w:ind w:left="624" w:right="0" w:hanging="510"/>
        <w:jc w:val="left"/>
        <w:rPr/>
      </w:pPr>
      <w:r>
        <w:rPr>
          <w:szCs w:val="22"/>
        </w:rPr>
        <w:t>Finansiālais kritērijs. Maksimālo punktu skaitu piešķir piedāvājumam ar viszemāko līgumcenu. Pārējiem piedāvājumiem punktu skaitu aprēķina pēc šādas formulas</w:t>
      </w:r>
      <w:r>
        <w:rPr>
          <w:bCs/>
          <w:szCs w:val="22"/>
        </w:rPr>
        <w:t xml:space="preserve"> : </w:t>
      </w:r>
    </w:p>
    <w:tbl>
      <w:tblPr>
        <w:tblW w:w="8532" w:type="dxa"/>
        <w:jc w:val="center"/>
        <w:tblInd w:w="0" w:type="dxa"/>
        <w:tblLayout w:type="fixed"/>
        <w:tblCellMar>
          <w:top w:w="0" w:type="dxa"/>
          <w:left w:w="68" w:type="dxa"/>
          <w:bottom w:w="0" w:type="dxa"/>
          <w:right w:w="108" w:type="dxa"/>
        </w:tblCellMar>
      </w:tblPr>
      <w:tblGrid>
        <w:gridCol w:w="8532"/>
      </w:tblGrid>
      <w:tr>
        <w:trPr/>
        <w:tc>
          <w:tcPr>
            <w:tcW w:w="85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pPr>
            <w:r>
              <w:rPr>
                <w:bCs/>
                <w:szCs w:val="22"/>
              </w:rPr>
              <w:t>Punktu skaits= (mazākā piedāvātā līgumcena/Pretendenta piedāvātā līgumcena) x 85</w:t>
            </w:r>
          </w:p>
        </w:tc>
      </w:tr>
    </w:tbl>
    <w:p>
      <w:pPr>
        <w:pStyle w:val="Normal"/>
        <w:rPr/>
      </w:pPr>
      <w:r>
        <w:rPr>
          <w:b/>
          <w:bCs/>
        </w:rPr>
        <w:tab/>
      </w:r>
    </w:p>
    <w:p>
      <w:pPr>
        <w:pStyle w:val="Normal"/>
        <w:widowControl w:val="false"/>
        <w:overflowPunct w:val="true"/>
        <w:bidi w:val="0"/>
        <w:ind w:left="624" w:right="0" w:hanging="510"/>
        <w:jc w:val="left"/>
        <w:rPr/>
      </w:pPr>
      <w:r>
        <w:rPr>
          <w:b w:val="false"/>
          <w:bCs w:val="false"/>
        </w:rPr>
        <w:t>10.3.2.</w:t>
        <w:tab/>
        <w:t xml:space="preserve">Tehniskie kritēriji.  </w:t>
      </w:r>
      <w:r>
        <w:rPr>
          <w:b w:val="false"/>
          <w:bCs/>
          <w:szCs w:val="22"/>
        </w:rPr>
        <w:t>Tehniskie kritēriji  sastāv no kritēriju kopuma summas:</w:t>
      </w:r>
    </w:p>
    <w:p>
      <w:pPr>
        <w:pStyle w:val="ListParagraph"/>
        <w:rPr/>
      </w:pPr>
      <w:r>
        <w:rPr>
          <w:b/>
          <w:bCs/>
        </w:rPr>
        <w:tab/>
        <w:t xml:space="preserve">1) Kritērijs “garantijas laiks”: </w:t>
      </w:r>
    </w:p>
    <w:p>
      <w:pPr>
        <w:pStyle w:val="ListParagraph"/>
        <w:numPr>
          <w:ilvl w:val="0"/>
          <w:numId w:val="19"/>
        </w:numPr>
        <w:rPr/>
      </w:pPr>
      <w:r>
        <w:rPr>
          <w:b w:val="false"/>
          <w:bCs w:val="false"/>
        </w:rPr>
        <w:t xml:space="preserve">mazāk par </w:t>
      </w:r>
      <w:r>
        <w:rPr>
          <w:b w:val="false"/>
          <w:bCs w:val="false"/>
          <w:szCs w:val="22"/>
          <w:lang w:val="lv-LV"/>
        </w:rPr>
        <w:t>trīs gadi vai 100000 km nobraukumu –neatbilst Nolikuma obligātajām prasībām;</w:t>
      </w:r>
    </w:p>
    <w:p>
      <w:pPr>
        <w:pStyle w:val="Normal"/>
        <w:numPr>
          <w:ilvl w:val="0"/>
          <w:numId w:val="19"/>
        </w:numPr>
        <w:rPr/>
      </w:pPr>
      <w:r>
        <w:rPr>
          <w:b w:val="false"/>
          <w:bCs w:val="false"/>
          <w:szCs w:val="22"/>
          <w:lang w:val="lv-LV"/>
        </w:rPr>
        <w:t xml:space="preserve">trīs gadi vai 100000 km nobraukums – </w:t>
      </w:r>
      <w:r>
        <w:rPr>
          <w:rFonts w:eastAsia="Andale Sans UI" w:cs="Tahoma"/>
          <w:b w:val="false"/>
          <w:bCs w:val="false"/>
          <w:color w:val="00000A"/>
          <w:kern w:val="2"/>
          <w:sz w:val="24"/>
          <w:szCs w:val="22"/>
          <w:lang w:val="lv-LV" w:eastAsia="zxx" w:bidi="zxx"/>
        </w:rPr>
        <w:t>0</w:t>
      </w:r>
      <w:r>
        <w:rPr>
          <w:b w:val="false"/>
          <w:bCs w:val="false"/>
          <w:szCs w:val="22"/>
          <w:lang w:val="lv-LV"/>
        </w:rPr>
        <w:t xml:space="preserve"> punkts;</w:t>
      </w:r>
    </w:p>
    <w:p>
      <w:pPr>
        <w:pStyle w:val="Normal"/>
        <w:numPr>
          <w:ilvl w:val="0"/>
          <w:numId w:val="19"/>
        </w:numPr>
        <w:rPr/>
      </w:pPr>
      <w:r>
        <w:rPr>
          <w:b w:val="false"/>
          <w:bCs w:val="false"/>
          <w:szCs w:val="22"/>
          <w:lang w:val="lv-LV"/>
        </w:rPr>
        <w:t>vairāk par trīs gadi vai 100000 km nobraukums – 3 punkti.</w:t>
      </w:r>
    </w:p>
    <w:p>
      <w:pPr>
        <w:pStyle w:val="Normal"/>
        <w:rPr/>
      </w:pPr>
      <w:r>
        <w:rPr>
          <w:b w:val="false"/>
          <w:bCs w:val="false"/>
          <w:szCs w:val="22"/>
          <w:lang w:val="lv-LV"/>
        </w:rPr>
        <w:tab/>
      </w:r>
      <w:r>
        <w:rPr>
          <w:b/>
          <w:bCs/>
          <w:szCs w:val="22"/>
          <w:lang w:val="lv-LV"/>
        </w:rPr>
        <w:t>2) Kritērijs “</w:t>
      </w:r>
      <w:r>
        <w:rPr>
          <w:rFonts w:eastAsia="Andale Sans UI" w:cs="Tahoma"/>
          <w:b/>
          <w:bCs/>
          <w:color w:val="00000A"/>
          <w:kern w:val="2"/>
          <w:sz w:val="24"/>
          <w:szCs w:val="22"/>
          <w:lang w:val="lv-LV" w:eastAsia="zxx" w:bidi="zxx"/>
        </w:rPr>
        <w:t>motora jauda (zs)</w:t>
      </w:r>
      <w:r>
        <w:rPr>
          <w:b/>
          <w:bCs/>
          <w:szCs w:val="22"/>
          <w:lang w:val="lv-LV"/>
        </w:rPr>
        <w:t>”:</w:t>
      </w:r>
    </w:p>
    <w:p>
      <w:pPr>
        <w:pStyle w:val="Normal"/>
        <w:numPr>
          <w:ilvl w:val="0"/>
          <w:numId w:val="20"/>
        </w:numPr>
        <w:rPr/>
      </w:pPr>
      <w:r>
        <w:rPr>
          <w:rFonts w:eastAsia="Andale Sans UI" w:cs="Tahoma"/>
          <w:b w:val="false"/>
          <w:bCs w:val="false"/>
          <w:color w:val="00000A"/>
          <w:kern w:val="2"/>
          <w:sz w:val="24"/>
          <w:szCs w:val="22"/>
          <w:lang w:val="lv-LV" w:eastAsia="zxx" w:bidi="zxx"/>
        </w:rPr>
        <w:t>Mazāk par 100 (zs)</w:t>
      </w:r>
      <w:r>
        <w:rPr>
          <w:b w:val="false"/>
          <w:bCs w:val="false"/>
          <w:szCs w:val="22"/>
          <w:lang w:val="lv-LV"/>
        </w:rPr>
        <w:t xml:space="preserve"> – 0 punkti un neatbilst obligātajām Nolikuma obligātajām prasībām;</w:t>
      </w:r>
    </w:p>
    <w:p>
      <w:pPr>
        <w:pStyle w:val="Normal"/>
        <w:numPr>
          <w:ilvl w:val="0"/>
          <w:numId w:val="20"/>
        </w:numPr>
        <w:rPr/>
      </w:pPr>
      <w:r>
        <w:rPr>
          <w:b w:val="false"/>
          <w:bCs w:val="false"/>
          <w:szCs w:val="22"/>
          <w:lang w:val="lv-LV"/>
        </w:rPr>
        <w:t>100 zs (ieskaitot) līdz 110 zs (neieskaitot) – 1 punkti.;</w:t>
      </w:r>
    </w:p>
    <w:p>
      <w:pPr>
        <w:pStyle w:val="Normal"/>
        <w:numPr>
          <w:ilvl w:val="0"/>
          <w:numId w:val="20"/>
        </w:numPr>
        <w:rPr/>
      </w:pPr>
      <w:r>
        <w:rPr>
          <w:b w:val="false"/>
          <w:bCs w:val="false"/>
          <w:szCs w:val="22"/>
          <w:lang w:val="lv-LV"/>
        </w:rPr>
        <w:t>110 zs un vairāk – 2 punkti.</w:t>
      </w:r>
    </w:p>
    <w:p>
      <w:pPr>
        <w:pStyle w:val="Normal"/>
        <w:rPr/>
      </w:pPr>
      <w:r>
        <w:rPr>
          <w:b w:val="false"/>
          <w:bCs w:val="false"/>
          <w:szCs w:val="22"/>
          <w:lang w:val="lv-LV"/>
        </w:rPr>
        <w:tab/>
      </w:r>
      <w:r>
        <w:rPr>
          <w:b/>
          <w:bCs/>
          <w:szCs w:val="22"/>
          <w:lang w:val="lv-LV"/>
        </w:rPr>
        <w:t>3)  Kritērijs “</w:t>
      </w:r>
      <w:r>
        <w:rPr>
          <w:rFonts w:eastAsia="Andale Sans UI" w:cs="Tahoma"/>
          <w:b/>
          <w:bCs/>
          <w:color w:val="00000A"/>
          <w:kern w:val="2"/>
          <w:sz w:val="24"/>
          <w:szCs w:val="22"/>
          <w:lang w:val="lv-LV" w:eastAsia="zxx" w:bidi="zxx"/>
        </w:rPr>
        <w:t>Piegādes laiks</w:t>
      </w:r>
      <w:r>
        <w:rPr>
          <w:b/>
          <w:bCs/>
          <w:szCs w:val="22"/>
          <w:lang w:val="lv-LV"/>
        </w:rPr>
        <w:t>”:</w:t>
      </w:r>
    </w:p>
    <w:p>
      <w:pPr>
        <w:pStyle w:val="ListParagraph"/>
        <w:widowControl w:val="false"/>
        <w:numPr>
          <w:ilvl w:val="1"/>
          <w:numId w:val="31"/>
        </w:numPr>
        <w:suppressAutoHyphens w:val="true"/>
        <w:overflowPunct w:val="true"/>
        <w:bidi w:val="0"/>
        <w:spacing w:before="0" w:after="0"/>
        <w:ind w:left="737" w:right="0" w:hanging="340"/>
        <w:rPr/>
      </w:pPr>
      <w:r>
        <w:rPr>
          <w:b w:val="false"/>
          <w:bCs w:val="false"/>
        </w:rPr>
        <w:t>ilg</w:t>
      </w:r>
      <w:r>
        <w:rPr>
          <w:b w:val="false"/>
          <w:bCs w:val="false"/>
          <w:shd w:fill="auto" w:val="clear"/>
        </w:rPr>
        <w:t>āk par 4 mēnešiem</w:t>
      </w:r>
      <w:r>
        <w:rPr>
          <w:b w:val="false"/>
          <w:bCs w:val="false"/>
          <w:szCs w:val="22"/>
          <w:shd w:fill="auto" w:val="clear"/>
          <w:lang w:val="lv-LV"/>
        </w:rPr>
        <w:t xml:space="preserve"> no līguma parakstīšanas brīža – neatbilst Nolikuma obligātajām prasībām;</w:t>
      </w:r>
    </w:p>
    <w:p>
      <w:pPr>
        <w:pStyle w:val="Normal"/>
        <w:widowControl w:val="false"/>
        <w:numPr>
          <w:ilvl w:val="1"/>
          <w:numId w:val="32"/>
        </w:numPr>
        <w:suppressAutoHyphens w:val="true"/>
        <w:overflowPunct w:val="true"/>
        <w:bidi w:val="0"/>
        <w:spacing w:before="0" w:after="0"/>
        <w:ind w:left="737" w:right="0" w:hanging="340"/>
        <w:rPr/>
      </w:pPr>
      <w:r>
        <w:rPr>
          <w:b w:val="false"/>
          <w:bCs w:val="false"/>
          <w:szCs w:val="22"/>
          <w:shd w:fill="auto" w:val="clear"/>
          <w:lang w:val="lv-LV"/>
        </w:rPr>
        <w:t>3  (neieskaitot) līdz 4 (iesk</w:t>
      </w:r>
      <w:r>
        <w:rPr>
          <w:b w:val="false"/>
          <w:bCs w:val="false"/>
          <w:szCs w:val="22"/>
          <w:lang w:val="lv-LV"/>
        </w:rPr>
        <w:t xml:space="preserve">aitot) mēneši no līguma parakstīšanas brīža – </w:t>
      </w:r>
      <w:r>
        <w:rPr>
          <w:rFonts w:eastAsia="Andale Sans UI" w:cs="Tahoma"/>
          <w:b w:val="false"/>
          <w:bCs w:val="false"/>
          <w:color w:val="00000A"/>
          <w:kern w:val="2"/>
          <w:sz w:val="24"/>
          <w:szCs w:val="22"/>
          <w:lang w:val="lv-LV" w:eastAsia="zxx" w:bidi="zxx"/>
        </w:rPr>
        <w:t>0</w:t>
      </w:r>
      <w:r>
        <w:rPr>
          <w:b w:val="false"/>
          <w:bCs w:val="false"/>
          <w:szCs w:val="22"/>
          <w:lang w:val="lv-LV"/>
        </w:rPr>
        <w:t xml:space="preserve"> punkti;</w:t>
      </w:r>
    </w:p>
    <w:p>
      <w:pPr>
        <w:pStyle w:val="Normal"/>
        <w:widowControl w:val="false"/>
        <w:numPr>
          <w:ilvl w:val="1"/>
          <w:numId w:val="33"/>
        </w:numPr>
        <w:suppressAutoHyphens w:val="true"/>
        <w:overflowPunct w:val="true"/>
        <w:bidi w:val="0"/>
        <w:spacing w:before="0" w:after="0"/>
        <w:ind w:left="737" w:right="0" w:hanging="340"/>
        <w:rPr/>
      </w:pPr>
      <w:r>
        <w:rPr>
          <w:b w:val="false"/>
          <w:bCs w:val="false"/>
          <w:szCs w:val="22"/>
          <w:lang w:val="lv-LV"/>
        </w:rPr>
        <w:t>2 (neieskaitot) līdz 3 (ieskaitot) mēneši no līguma parakstīšanas brīža– 1 punkti;</w:t>
      </w:r>
    </w:p>
    <w:p>
      <w:pPr>
        <w:pStyle w:val="Normal"/>
        <w:widowControl w:val="false"/>
        <w:numPr>
          <w:ilvl w:val="1"/>
          <w:numId w:val="34"/>
        </w:numPr>
        <w:suppressAutoHyphens w:val="true"/>
        <w:overflowPunct w:val="true"/>
        <w:bidi w:val="0"/>
        <w:spacing w:before="0" w:after="0"/>
        <w:ind w:left="737" w:right="0" w:hanging="340"/>
        <w:rPr/>
      </w:pPr>
      <w:r>
        <w:rPr>
          <w:b w:val="false"/>
          <w:bCs w:val="false"/>
          <w:szCs w:val="22"/>
          <w:lang w:val="lv-LV"/>
        </w:rPr>
        <w:t>1 (neieskaitot) līdz 2 (ieskaitot) mēneši no līguma parakstīšanas brīža – 2 punkti;</w:t>
      </w:r>
    </w:p>
    <w:p>
      <w:pPr>
        <w:pStyle w:val="Normal"/>
        <w:widowControl w:val="false"/>
        <w:numPr>
          <w:ilvl w:val="1"/>
          <w:numId w:val="35"/>
        </w:numPr>
        <w:suppressAutoHyphens w:val="true"/>
        <w:overflowPunct w:val="true"/>
        <w:bidi w:val="0"/>
        <w:spacing w:before="0" w:after="0"/>
        <w:ind w:left="737" w:right="0" w:hanging="340"/>
        <w:rPr/>
      </w:pPr>
      <w:r>
        <w:rPr>
          <w:b w:val="false"/>
          <w:bCs w:val="false"/>
          <w:szCs w:val="22"/>
          <w:lang w:val="lv-LV"/>
        </w:rPr>
        <w:t>1 (viena) mēnešu laikā vai ātrāk no līguma parakstīšanas brīža – 3 punkti.</w:t>
      </w:r>
    </w:p>
    <w:p>
      <w:pPr>
        <w:pStyle w:val="Normal"/>
        <w:numPr>
          <w:ilvl w:val="0"/>
          <w:numId w:val="0"/>
        </w:numPr>
        <w:ind w:left="720" w:hanging="0"/>
        <w:rPr/>
      </w:pPr>
      <w:r>
        <w:rPr>
          <w:b/>
          <w:bCs/>
          <w:szCs w:val="22"/>
          <w:lang w:val="lv-LV"/>
        </w:rPr>
        <w:t>4) Kritērijs “</w:t>
      </w:r>
      <w:r>
        <w:rPr>
          <w:rFonts w:eastAsia="Andale Sans UI" w:cs="Tahoma"/>
          <w:b/>
          <w:bCs/>
          <w:color w:val="00000A"/>
          <w:kern w:val="2"/>
          <w:sz w:val="24"/>
          <w:szCs w:val="22"/>
          <w:lang w:val="lv-LV" w:eastAsia="zxx" w:bidi="zxx"/>
        </w:rPr>
        <w:t>Priekšējie logu tīrītāji ar lietus sensoru</w:t>
      </w:r>
      <w:r>
        <w:rPr>
          <w:b/>
          <w:bCs/>
          <w:szCs w:val="22"/>
          <w:lang w:val="lv-LV"/>
        </w:rPr>
        <w:t>”:</w:t>
      </w:r>
    </w:p>
    <w:p>
      <w:pPr>
        <w:pStyle w:val="Normal"/>
        <w:numPr>
          <w:ilvl w:val="0"/>
          <w:numId w:val="21"/>
        </w:numPr>
        <w:rPr/>
      </w:pPr>
      <w:r>
        <w:rPr>
          <w:b w:val="false"/>
          <w:bCs w:val="false"/>
          <w:szCs w:val="22"/>
          <w:lang w:val="lv-LV"/>
        </w:rPr>
        <w:t>nav aprīkota – 0 punkti;</w:t>
      </w:r>
    </w:p>
    <w:p>
      <w:pPr>
        <w:pStyle w:val="Normal"/>
        <w:numPr>
          <w:ilvl w:val="0"/>
          <w:numId w:val="21"/>
        </w:numPr>
        <w:rPr/>
      </w:pPr>
      <w:r>
        <w:rPr>
          <w:rFonts w:eastAsia="Andale Sans UI" w:cs="Tahoma"/>
          <w:b w:val="false"/>
          <w:bCs w:val="false"/>
          <w:color w:val="00000A"/>
          <w:kern w:val="2"/>
          <w:sz w:val="24"/>
          <w:szCs w:val="22"/>
          <w:lang w:val="lv-LV" w:eastAsia="zxx" w:bidi="zxx"/>
        </w:rPr>
        <w:t>ir aprīkota</w:t>
      </w:r>
      <w:r>
        <w:rPr>
          <w:b w:val="false"/>
          <w:bCs w:val="false"/>
          <w:szCs w:val="22"/>
          <w:lang w:val="lv-LV"/>
        </w:rPr>
        <w:t xml:space="preserve"> – 1 punkti.</w:t>
      </w:r>
    </w:p>
    <w:p>
      <w:pPr>
        <w:pStyle w:val="Normal"/>
        <w:rPr/>
      </w:pPr>
      <w:r>
        <w:rPr>
          <w:b w:val="false"/>
          <w:bCs w:val="false"/>
          <w:szCs w:val="22"/>
          <w:lang w:val="lv-LV"/>
        </w:rPr>
        <w:tab/>
      </w:r>
      <w:r>
        <w:rPr>
          <w:b/>
          <w:bCs/>
          <w:szCs w:val="22"/>
          <w:lang w:val="lv-LV"/>
        </w:rPr>
        <w:t>5) Kritērijs “</w:t>
      </w:r>
      <w:r>
        <w:rPr>
          <w:rFonts w:eastAsia="Andale Sans UI" w:cs="Tahoma"/>
          <w:b/>
          <w:bCs/>
          <w:color w:val="00000A"/>
          <w:kern w:val="2"/>
          <w:sz w:val="24"/>
          <w:szCs w:val="22"/>
          <w:shd w:fill="auto" w:val="clear"/>
          <w:lang w:val="lv-LV" w:eastAsia="zxx" w:bidi="zxx"/>
        </w:rPr>
        <w:t>Navigācijas si</w:t>
      </w:r>
      <w:r>
        <w:rPr>
          <w:rFonts w:eastAsia="Andale Sans UI" w:cs="Tahoma"/>
          <w:b/>
          <w:bCs/>
          <w:color w:val="00000A"/>
          <w:kern w:val="2"/>
          <w:sz w:val="24"/>
          <w:szCs w:val="22"/>
          <w:lang w:val="lv-LV" w:eastAsia="zxx" w:bidi="zxx"/>
        </w:rPr>
        <w:t>stēma</w:t>
      </w:r>
      <w:r>
        <w:rPr>
          <w:b/>
          <w:bCs/>
          <w:szCs w:val="22"/>
          <w:lang w:val="lv-LV"/>
        </w:rPr>
        <w:t>”:</w:t>
      </w:r>
    </w:p>
    <w:p>
      <w:pPr>
        <w:pStyle w:val="Normal"/>
        <w:numPr>
          <w:ilvl w:val="0"/>
          <w:numId w:val="22"/>
        </w:numPr>
        <w:rPr/>
      </w:pPr>
      <w:r>
        <w:rPr>
          <w:b w:val="false"/>
          <w:bCs w:val="false"/>
          <w:szCs w:val="22"/>
          <w:lang w:val="lv-LV"/>
        </w:rPr>
        <w:t>nav aprīkota – 0 punkti;</w:t>
      </w:r>
    </w:p>
    <w:p>
      <w:pPr>
        <w:pStyle w:val="Normal"/>
        <w:numPr>
          <w:ilvl w:val="0"/>
          <w:numId w:val="22"/>
        </w:numPr>
        <w:rPr/>
      </w:pPr>
      <w:r>
        <w:rPr>
          <w:b w:val="false"/>
          <w:bCs w:val="false"/>
          <w:szCs w:val="22"/>
          <w:lang w:val="lv-LV"/>
        </w:rPr>
        <w:t>ir aprīkota  – 2 punkti;</w:t>
      </w:r>
    </w:p>
    <w:p>
      <w:pPr>
        <w:pStyle w:val="Normal"/>
        <w:jc w:val="left"/>
        <w:rPr/>
      </w:pPr>
      <w:r>
        <w:rPr>
          <w:b w:val="false"/>
          <w:bCs w:val="false"/>
          <w:szCs w:val="22"/>
          <w:lang w:val="lv-LV"/>
        </w:rPr>
        <w:tab/>
        <w:t>6</w:t>
      </w:r>
      <w:r>
        <w:rPr>
          <w:b/>
          <w:bCs/>
          <w:szCs w:val="22"/>
          <w:lang w:val="lv-LV"/>
        </w:rPr>
        <w:t>) Kritērijs “</w:t>
      </w:r>
      <w:r>
        <w:rPr>
          <w:rFonts w:eastAsia="Andale Sans UI" w:cs="Tahoma"/>
          <w:b/>
          <w:bCs/>
          <w:color w:val="00000A"/>
          <w:kern w:val="2"/>
          <w:sz w:val="24"/>
          <w:szCs w:val="22"/>
          <w:lang w:val="lv-LV" w:eastAsia="zxx" w:bidi="zxx"/>
        </w:rPr>
        <w:t>Distances sensori priekšā un aizmugurē</w:t>
      </w:r>
      <w:r>
        <w:rPr>
          <w:b/>
          <w:bCs/>
          <w:szCs w:val="22"/>
          <w:lang w:val="lv-LV"/>
        </w:rPr>
        <w:t>”:</w:t>
      </w:r>
    </w:p>
    <w:p>
      <w:pPr>
        <w:pStyle w:val="Normal"/>
        <w:numPr>
          <w:ilvl w:val="0"/>
          <w:numId w:val="23"/>
        </w:numPr>
        <w:jc w:val="left"/>
        <w:rPr/>
      </w:pPr>
      <w:r>
        <w:rPr>
          <w:b w:val="false"/>
          <w:bCs w:val="false"/>
          <w:szCs w:val="22"/>
          <w:lang w:val="lv-LV"/>
        </w:rPr>
        <w:t>nav aprīkota – 0 punkti;</w:t>
      </w:r>
    </w:p>
    <w:p>
      <w:pPr>
        <w:pStyle w:val="Normal"/>
        <w:numPr>
          <w:ilvl w:val="0"/>
          <w:numId w:val="23"/>
        </w:numPr>
        <w:jc w:val="left"/>
        <w:rPr/>
      </w:pPr>
      <w:r>
        <w:rPr>
          <w:b w:val="false"/>
          <w:bCs w:val="false"/>
          <w:szCs w:val="22"/>
          <w:lang w:val="lv-LV"/>
        </w:rPr>
        <w:t>ir aprīkota – 2 punkti.</w:t>
      </w:r>
    </w:p>
    <w:p>
      <w:pPr>
        <w:pStyle w:val="Normal"/>
        <w:jc w:val="left"/>
        <w:rPr/>
      </w:pPr>
      <w:r>
        <w:rPr>
          <w:b w:val="false"/>
          <w:bCs w:val="false"/>
          <w:szCs w:val="22"/>
          <w:lang w:val="lv-LV"/>
        </w:rPr>
        <w:tab/>
        <w:t>7</w:t>
      </w:r>
      <w:r>
        <w:rPr>
          <w:b/>
          <w:bCs/>
          <w:szCs w:val="22"/>
          <w:lang w:val="lv-LV"/>
        </w:rPr>
        <w:t>) Kritērijs “</w:t>
      </w:r>
      <w:r>
        <w:rPr>
          <w:rFonts w:eastAsia="Andale Sans UI" w:cs="Tahoma"/>
          <w:b/>
          <w:bCs/>
          <w:color w:val="00000A"/>
          <w:kern w:val="2"/>
          <w:sz w:val="24"/>
          <w:szCs w:val="22"/>
          <w:lang w:val="lv-LV" w:eastAsia="zxx" w:bidi="zxx"/>
        </w:rPr>
        <w:t>Pasīvā “aklo” zonu uzraudzības sistēma</w:t>
      </w:r>
      <w:r>
        <w:rPr>
          <w:b/>
          <w:bCs/>
          <w:szCs w:val="22"/>
          <w:lang w:val="lv-LV"/>
        </w:rPr>
        <w:t>”:</w:t>
      </w:r>
    </w:p>
    <w:p>
      <w:pPr>
        <w:pStyle w:val="Normal"/>
        <w:numPr>
          <w:ilvl w:val="0"/>
          <w:numId w:val="24"/>
        </w:numPr>
        <w:jc w:val="left"/>
        <w:rPr/>
      </w:pPr>
      <w:r>
        <w:rPr>
          <w:b w:val="false"/>
          <w:bCs w:val="false"/>
          <w:szCs w:val="22"/>
          <w:lang w:val="lv-LV"/>
        </w:rPr>
        <w:t>nav aprīkota– 0 punkti;.</w:t>
      </w:r>
    </w:p>
    <w:p>
      <w:pPr>
        <w:pStyle w:val="Normal"/>
        <w:numPr>
          <w:ilvl w:val="0"/>
          <w:numId w:val="24"/>
        </w:numPr>
        <w:jc w:val="left"/>
        <w:rPr/>
      </w:pPr>
      <w:r>
        <w:rPr>
          <w:b w:val="false"/>
          <w:bCs w:val="false"/>
          <w:szCs w:val="22"/>
          <w:lang w:val="lv-LV"/>
        </w:rPr>
        <w:t>ir aprīkota – 2 punkti.</w:t>
      </w:r>
    </w:p>
    <w:p>
      <w:pPr>
        <w:pStyle w:val="Normal"/>
        <w:jc w:val="left"/>
        <w:rPr>
          <w:highlight w:val="none"/>
          <w:shd w:fill="auto" w:val="clear"/>
        </w:rPr>
      </w:pPr>
      <w:r>
        <w:rPr>
          <w:shd w:fill="auto" w:val="clear"/>
        </w:rPr>
      </w:r>
    </w:p>
    <w:p>
      <w:pPr>
        <w:pStyle w:val="Normal"/>
        <w:jc w:val="left"/>
        <w:rPr>
          <w:b w:val="false"/>
          <w:bCs w:val="false"/>
          <w:szCs w:val="22"/>
          <w:highlight w:val="none"/>
          <w:shd w:fill="auto" w:val="clear"/>
          <w:lang w:val="lv-LV"/>
        </w:rPr>
      </w:pPr>
      <w:r>
        <w:rPr>
          <w:b w:val="false"/>
          <w:bCs w:val="false"/>
          <w:szCs w:val="22"/>
          <w:shd w:fill="auto" w:val="clear"/>
          <w:lang w:val="lv-LV"/>
        </w:rPr>
      </w:r>
    </w:p>
    <w:p>
      <w:pPr>
        <w:pStyle w:val="Normal"/>
        <w:widowControl w:val="false"/>
        <w:numPr>
          <w:ilvl w:val="1"/>
          <w:numId w:val="3"/>
        </w:numPr>
        <w:overflowPunct w:val="false"/>
        <w:bidi w:val="0"/>
        <w:ind w:left="454" w:right="0" w:hanging="340"/>
        <w:jc w:val="both"/>
        <w:rPr/>
      </w:pPr>
      <w:r>
        <w:rPr>
          <w:b w:val="false"/>
          <w:bCs w:val="false"/>
        </w:rPr>
        <w:t>Vērtējot saimnieciski izdevīgāko piedāvājumu, iegūtos punktus noapaļo līdz divām zīmēm aiz komata. Gadījumā, ja punktu skaits ir vienāds, tad priekšroka tiek dota tam, kurš savu piedāvājumu ir iesniedza pirmais.</w:t>
      </w:r>
    </w:p>
    <w:p>
      <w:pPr>
        <w:pStyle w:val="Normal"/>
        <w:widowControl w:val="false"/>
        <w:numPr>
          <w:ilvl w:val="1"/>
          <w:numId w:val="3"/>
        </w:numPr>
        <w:overflowPunct w:val="false"/>
        <w:bidi w:val="0"/>
        <w:ind w:left="454" w:right="0" w:hanging="340"/>
        <w:jc w:val="both"/>
        <w:rPr/>
      </w:pPr>
      <w:r>
        <w:rPr>
          <w:b w:val="false"/>
          <w:bCs w:val="false"/>
        </w:rPr>
        <w:t>Pasūtītājam ir tiesības neizvēlēties nevienu no Pretendentiem un noslēgt Iepirkuma procedūru bez uzvarētājiem.</w:t>
      </w:r>
    </w:p>
    <w:p>
      <w:pPr>
        <w:pStyle w:val="Normal"/>
        <w:widowControl w:val="false"/>
        <w:numPr>
          <w:ilvl w:val="1"/>
          <w:numId w:val="3"/>
        </w:numPr>
        <w:overflowPunct w:val="false"/>
        <w:bidi w:val="0"/>
        <w:ind w:left="454" w:right="0" w:hanging="340"/>
        <w:jc w:val="both"/>
        <w:rPr>
          <w:rFonts w:ascii="Times New Roman" w:hAnsi="Times New Roman" w:eastAsia="Andale Sans UI" w:cs="Tahoma"/>
          <w:b w:val="false"/>
          <w:bCs w:val="false"/>
          <w:color w:val="00000A"/>
          <w:kern w:val="2"/>
          <w:sz w:val="24"/>
          <w:szCs w:val="24"/>
          <w:lang w:val="zxx" w:eastAsia="zxx" w:bidi="zxx"/>
        </w:rPr>
      </w:pPr>
      <w:r>
        <w:rPr>
          <w:rFonts w:eastAsia="Andale Sans UI" w:cs="Tahoma"/>
          <w:b w:val="false"/>
          <w:bCs w:val="false"/>
          <w:color w:val="00000A"/>
          <w:kern w:val="2"/>
          <w:sz w:val="24"/>
          <w:szCs w:val="24"/>
          <w:lang w:val="zxx" w:eastAsia="zxx" w:bidi="zxx"/>
        </w:rPr>
        <w:t>Iepirkuma komisija 5 (piecu) darba dienu laikā pēc tam, kad pieņemts lēmums slēgt iepirkuma līgumu vai izbeigt iepirkuma procedūru neizvēloties nevienu no pretendentiem. Nosūta normatīvajiem aktiem atbilstošu paziņojumu Pretendentiem.</w:t>
      </w:r>
    </w:p>
    <w:p>
      <w:pPr>
        <w:pStyle w:val="Normal"/>
        <w:widowControl w:val="false"/>
        <w:numPr>
          <w:ilvl w:val="1"/>
          <w:numId w:val="3"/>
        </w:numPr>
        <w:overflowPunct w:val="false"/>
        <w:bidi w:val="0"/>
        <w:ind w:left="454" w:right="0" w:hanging="340"/>
        <w:jc w:val="both"/>
        <w:rPr>
          <w:rFonts w:ascii="Times New Roman" w:hAnsi="Times New Roman" w:eastAsia="Andale Sans UI" w:cs="Tahoma"/>
          <w:b w:val="false"/>
          <w:bCs w:val="false"/>
          <w:color w:val="00000A"/>
          <w:kern w:val="2"/>
          <w:sz w:val="24"/>
          <w:szCs w:val="24"/>
          <w:lang w:val="zxx" w:eastAsia="zxx" w:bidi="zxx"/>
        </w:rPr>
      </w:pPr>
      <w:r>
        <w:rPr>
          <w:rFonts w:cs="Times New Roman"/>
          <w:iCs/>
          <w:sz w:val="24"/>
          <w:szCs w:val="24"/>
          <w:shd w:fill="auto" w:val="clear"/>
        </w:rPr>
        <w:t xml:space="preserve">Komisija ir tiesīga atcelt savu lēmumu par Iepirkuma Līguma slēgšanas tiesību piešķiršanu un pieņemt pamatotu lēmumu </w:t>
      </w:r>
      <w:r>
        <w:rPr>
          <w:rFonts w:eastAsia="Times New Roman" w:cs="Times New Roman"/>
          <w:color w:val="000000"/>
          <w:sz w:val="24"/>
          <w:szCs w:val="24"/>
          <w:shd w:fill="auto" w:val="clear"/>
          <w:lang w:eastAsia="lv-LV" w:bidi="lo-LA"/>
        </w:rPr>
        <w:t xml:space="preserve">slēgt Iepirkuma Līgumu ar Pretendentu, kura piedāvājums ir nākamais </w:t>
      </w:r>
      <w:r>
        <w:rPr>
          <w:rFonts w:eastAsia="Times New Roman" w:cs="Times New Roman"/>
          <w:b/>
          <w:color w:val="000000"/>
          <w:sz w:val="24"/>
          <w:szCs w:val="24"/>
          <w:shd w:fill="auto" w:val="clear"/>
          <w:lang w:eastAsia="lv-LV" w:bidi="lo-LA"/>
        </w:rPr>
        <w:t xml:space="preserve">saimnieciski visizdevīgākais piedāvājums, </w:t>
      </w:r>
      <w:r>
        <w:rPr>
          <w:rFonts w:eastAsia="Times New Roman" w:cs="Times New Roman"/>
          <w:bCs/>
          <w:color w:val="000000"/>
          <w:sz w:val="24"/>
          <w:szCs w:val="24"/>
          <w:shd w:fill="auto" w:val="clear"/>
          <w:lang w:eastAsia="lv-LV" w:bidi="lo-LA"/>
        </w:rPr>
        <w:t xml:space="preserve">ja </w:t>
      </w:r>
      <w:r>
        <w:rPr>
          <w:rFonts w:eastAsia="Times New Roman" w:cs="Times New Roman"/>
          <w:bCs/>
          <w:color w:val="000000"/>
          <w:sz w:val="24"/>
          <w:szCs w:val="24"/>
          <w:lang w:eastAsia="lv-LV" w:bidi="lo-LA"/>
        </w:rPr>
        <w:t xml:space="preserve">Pretendents Nolikumā noteiktajā termiņā </w:t>
      </w:r>
      <w:r>
        <w:rPr>
          <w:rFonts w:eastAsia="Times New Roman" w:cs="Times New Roman"/>
          <w:color w:val="000000"/>
          <w:sz w:val="24"/>
          <w:szCs w:val="24"/>
          <w:lang w:eastAsia="lv-LV" w:bidi="lo-LA"/>
        </w:rPr>
        <w:t xml:space="preserve">atsakās slēgt vai neparaksta Iepirkuma Līgumu ar Pasūtītāju, </w:t>
      </w:r>
      <w:r>
        <w:rPr>
          <w:rFonts w:eastAsia="Times New Roman" w:cs="Times New Roman"/>
          <w:b/>
          <w:bCs/>
          <w:color w:val="000000"/>
          <w:sz w:val="24"/>
          <w:szCs w:val="24"/>
          <w:lang w:eastAsia="lv-LV" w:bidi="lo-LA"/>
        </w:rPr>
        <w:t xml:space="preserve">vai pārtraukt Iepirkumu, neizvēloties nevienu piedāvājumu. </w:t>
      </w:r>
    </w:p>
    <w:p>
      <w:pPr>
        <w:pStyle w:val="Normal"/>
        <w:widowControl w:val="false"/>
        <w:numPr>
          <w:ilvl w:val="1"/>
          <w:numId w:val="3"/>
        </w:numPr>
        <w:overflowPunct w:val="false"/>
        <w:bidi w:val="0"/>
        <w:ind w:left="454" w:right="0" w:hanging="340"/>
        <w:jc w:val="both"/>
        <w:rPr>
          <w:rFonts w:ascii="Times New Roman" w:hAnsi="Times New Roman" w:eastAsia="Andale Sans UI" w:cs="Tahoma"/>
          <w:b w:val="false"/>
          <w:bCs w:val="false"/>
          <w:color w:val="00000A"/>
          <w:kern w:val="2"/>
          <w:sz w:val="24"/>
          <w:szCs w:val="24"/>
          <w:lang w:val="zxx" w:eastAsia="zxx" w:bidi="zxx"/>
        </w:rPr>
      </w:pPr>
      <w:r>
        <w:rPr>
          <w:rFonts w:eastAsia="Times New Roman" w:cs="Times New Roman"/>
          <w:color w:val="000000"/>
          <w:sz w:val="24"/>
          <w:szCs w:val="24"/>
          <w:lang w:eastAsia="lv-LV" w:bidi="lo-LA"/>
        </w:rPr>
        <w:t xml:space="preserve">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numPr>
          <w:ilvl w:val="0"/>
          <w:numId w:val="3"/>
        </w:numPr>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b w:val="false"/>
          <w:bCs w:val="false"/>
          <w:color w:val="000000"/>
          <w:kern w:val="2"/>
          <w:sz w:val="24"/>
          <w:szCs w:val="24"/>
          <w:lang w:val="zxx" w:eastAsia="lv-LV" w:bidi="lo-LA"/>
        </w:rPr>
        <w:t>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Normal"/>
        <w:numPr>
          <w:ilvl w:val="0"/>
          <w:numId w:val="3"/>
        </w:numPr>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b w:val="false"/>
          <w:bCs w:val="false"/>
          <w:color w:val="000000"/>
          <w:kern w:val="2"/>
          <w:sz w:val="24"/>
          <w:szCs w:val="24"/>
          <w:lang w:val="zxx" w:eastAsia="lv-LV" w:bidi="lo-LA"/>
        </w:rPr>
        <w:t>Pretendents 5 (piecu) darba dienu laikā paraskta Līguma projektu.</w:t>
      </w:r>
    </w:p>
    <w:p>
      <w:pPr>
        <w:pStyle w:val="Normal"/>
        <w:widowControl w:val="false"/>
        <w:overflowPunct w:val="false"/>
        <w:bidi w:val="0"/>
        <w:ind w:left="454" w:right="0" w:hanging="454"/>
        <w:jc w:val="left"/>
        <w:rPr>
          <w:b w:val="false"/>
          <w:bCs w:val="false"/>
        </w:rPr>
      </w:pPr>
      <w:r>
        <w:rPr>
          <w:b w:val="false"/>
          <w:bCs w:val="false"/>
        </w:rPr>
      </w:r>
    </w:p>
    <w:p>
      <w:pPr>
        <w:pStyle w:val="ListParagraph"/>
        <w:numPr>
          <w:ilvl w:val="0"/>
          <w:numId w:val="3"/>
        </w:numPr>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Pielikumi:</w:t>
      </w:r>
    </w:p>
    <w:p>
      <w:pPr>
        <w:pStyle w:val="Normal"/>
        <w:numPr>
          <w:ilvl w:val="0"/>
          <w:numId w:val="4"/>
        </w:numPr>
        <w:jc w:val="both"/>
        <w:rPr/>
      </w:pPr>
      <w:r>
        <w:rPr>
          <w:b/>
          <w:bCs/>
          <w:szCs w:val="22"/>
          <w:lang w:val="lv-LV"/>
        </w:rPr>
        <w:t>Pieteikums;</w:t>
      </w:r>
    </w:p>
    <w:p>
      <w:pPr>
        <w:pStyle w:val="Normal"/>
        <w:numPr>
          <w:ilvl w:val="0"/>
          <w:numId w:val="4"/>
        </w:numPr>
        <w:jc w:val="both"/>
        <w:rPr/>
      </w:pPr>
      <w:r>
        <w:rPr>
          <w:b/>
          <w:bCs/>
          <w:szCs w:val="22"/>
          <w:lang w:val="lv-LV"/>
        </w:rPr>
        <w:t>Tehniskā specifikācija;</w:t>
      </w:r>
    </w:p>
    <w:p>
      <w:pPr>
        <w:pStyle w:val="Normal"/>
        <w:numPr>
          <w:ilvl w:val="0"/>
          <w:numId w:val="4"/>
        </w:numPr>
        <w:jc w:val="both"/>
        <w:rPr/>
      </w:pPr>
      <w:r>
        <w:rPr>
          <w:b/>
          <w:bCs/>
          <w:szCs w:val="22"/>
          <w:lang w:val="lv-LV"/>
        </w:rPr>
        <w:t>Finanšu piedāvājums;</w:t>
      </w:r>
    </w:p>
    <w:p>
      <w:pPr>
        <w:pStyle w:val="Normal"/>
        <w:numPr>
          <w:ilvl w:val="0"/>
          <w:numId w:val="4"/>
        </w:numPr>
        <w:jc w:val="both"/>
        <w:rPr/>
      </w:pPr>
      <w:r>
        <w:rPr>
          <w:b/>
          <w:bCs/>
          <w:szCs w:val="22"/>
          <w:lang w:val="lv-LV"/>
        </w:rPr>
        <w:t>Līguma projekts;</w:t>
      </w:r>
    </w:p>
    <w:p>
      <w:pPr>
        <w:pStyle w:val="ListParagraph"/>
        <w:ind w:left="-432" w:hanging="0"/>
        <w:jc w:val="right"/>
        <w:rPr>
          <w:b/>
          <w:bCs/>
        </w:rPr>
      </w:pPr>
      <w:r>
        <w:rPr>
          <w:b/>
          <w:bCs/>
        </w:rPr>
      </w:r>
    </w:p>
    <w:p>
      <w:pPr>
        <w:pStyle w:val="ListParagraph"/>
        <w:ind w:left="-432" w:hanging="0"/>
        <w:jc w:val="right"/>
        <w:rPr>
          <w:b/>
          <w:bCs/>
        </w:rPr>
      </w:pPr>
      <w:r>
        <w:rPr>
          <w:b/>
          <w:bCs/>
        </w:rPr>
      </w:r>
      <w:r>
        <w:br w:type="page"/>
      </w:r>
    </w:p>
    <w:p>
      <w:pPr>
        <w:pStyle w:val="ListParagraph"/>
        <w:ind w:left="-432" w:hanging="0"/>
        <w:jc w:val="right"/>
        <w:rPr/>
      </w:pPr>
      <w:r>
        <w:rPr>
          <w:b/>
          <w:bCs/>
        </w:rPr>
        <w:t>1.pielikums</w:t>
      </w:r>
    </w:p>
    <w:p>
      <w:pPr>
        <w:pStyle w:val="Normal"/>
        <w:jc w:val="right"/>
        <w:rPr/>
      </w:pPr>
      <w:r>
        <w:rPr>
          <w:lang w:val="lv-LV"/>
        </w:rPr>
        <w:t>„</w:t>
      </w:r>
      <w:r>
        <w:rPr>
          <w:lang w:val="lv-LV"/>
        </w:rPr>
        <w:t>T</w:t>
      </w:r>
      <w:r>
        <w:rPr>
          <w:iCs/>
          <w:sz w:val="24"/>
          <w:szCs w:val="24"/>
          <w:lang w:val="lv-LV"/>
        </w:rPr>
        <w:t>ransportlīdzekļa iegāde</w:t>
      </w:r>
      <w:r>
        <w:rPr>
          <w:szCs w:val="22"/>
          <w:lang w:val="lv-LV"/>
        </w:rPr>
        <w:t>”</w:t>
      </w:r>
    </w:p>
    <w:p>
      <w:pPr>
        <w:pStyle w:val="Normal"/>
        <w:jc w:val="right"/>
        <w:rPr/>
      </w:pPr>
      <w:r>
        <w:rPr>
          <w:lang w:val="lv-LV"/>
        </w:rPr>
        <w:t>Iepirkuma identifikācijas Nr.</w:t>
      </w:r>
      <w:r>
        <w:rPr>
          <w:b/>
          <w:lang w:val="lv-LV"/>
        </w:rPr>
        <w:t xml:space="preserve"> </w:t>
      </w:r>
      <w:r>
        <w:rPr>
          <w:szCs w:val="22"/>
          <w:lang w:val="lv-LV"/>
        </w:rPr>
        <w:t>DE 2024/10</w:t>
      </w:r>
    </w:p>
    <w:p>
      <w:pPr>
        <w:pStyle w:val="Normal"/>
        <w:rPr>
          <w:rFonts w:ascii="Arial" w:hAnsi="Arial" w:cs="Arial"/>
          <w:b/>
          <w:bCs/>
          <w:i/>
          <w:i/>
          <w:sz w:val="20"/>
          <w:szCs w:val="22"/>
          <w:lang w:val="lv-LV" w:eastAsia="lv-LV"/>
        </w:rPr>
      </w:pPr>
      <w:r>
        <w:rPr>
          <w:rFonts w:cs="Arial" w:ascii="Arial" w:hAnsi="Arial"/>
          <w:b/>
          <w:bCs/>
          <w:i/>
          <w:sz w:val="20"/>
          <w:szCs w:val="22"/>
          <w:lang w:val="lv-LV" w:eastAsia="lv-LV"/>
        </w:rPr>
        <mc:AlternateContent>
          <mc:Choice Requires="wps">
            <w:drawing>
              <wp:anchor behindDoc="0" distT="0" distB="0" distL="0" distR="0" simplePos="0" locked="0" layoutInCell="0" allowOverlap="1" relativeHeight="2">
                <wp:simplePos x="0" y="0"/>
                <wp:positionH relativeFrom="column">
                  <wp:posOffset>0</wp:posOffset>
                </wp:positionH>
                <wp:positionV relativeFrom="paragraph">
                  <wp:posOffset>262890</wp:posOffset>
                </wp:positionV>
                <wp:extent cx="6305550" cy="7620"/>
                <wp:effectExtent l="0" t="0" r="0" b="0"/>
                <wp:wrapNone/>
                <wp:docPr id="1" name="Image1"/>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20.7pt" to="496.45pt,21.25pt" ID="Image1" stroked="f" o:allowincell="f" style="position:absolute;flip:x">
                <v:stroke color="#3465a4"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3">
                <wp:simplePos x="0" y="0"/>
                <wp:positionH relativeFrom="column">
                  <wp:posOffset>0</wp:posOffset>
                </wp:positionH>
                <wp:positionV relativeFrom="paragraph">
                  <wp:posOffset>262890</wp:posOffset>
                </wp:positionV>
                <wp:extent cx="6305550" cy="7620"/>
                <wp:effectExtent l="0" t="0" r="0" b="0"/>
                <wp:wrapNone/>
                <wp:docPr id="2" name="Image2"/>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20.7pt" to="496.45pt,21.25pt" ID="Image2" stroked="f" o:allowincell="f" style="position:absolute;flip:x">
                <v:stroke color="#3465a4"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4">
                <wp:simplePos x="0" y="0"/>
                <wp:positionH relativeFrom="column">
                  <wp:posOffset>0</wp:posOffset>
                </wp:positionH>
                <wp:positionV relativeFrom="paragraph">
                  <wp:posOffset>262890</wp:posOffset>
                </wp:positionV>
                <wp:extent cx="6305550" cy="7620"/>
                <wp:effectExtent l="0" t="0" r="0" b="0"/>
                <wp:wrapNone/>
                <wp:docPr id="3" name="Image3"/>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20.7pt" to="496.45pt,21.25pt" ID="Image3" stroked="f" o:allowincell="f" style="position:absolute;flip:x">
                <v:stroke color="#3465a4" weight="9360" joinstyle="round" endcap="flat"/>
                <v:fill o:detectmouseclick="t" on="false"/>
                <w10:wrap type="none"/>
              </v:line>
            </w:pict>
          </mc:Fallback>
        </mc:AlternateContent>
      </w:r>
    </w:p>
    <w:p>
      <w:pPr>
        <w:pStyle w:val="Normal"/>
        <w:jc w:val="center"/>
        <w:rPr/>
      </w:pPr>
      <w:r>
        <w:rPr>
          <w:b/>
          <w:bCs/>
          <w:sz w:val="28"/>
          <w:lang w:val="lv-LV"/>
        </w:rPr>
        <w:t>PIETEIKUMS</w:t>
      </w:r>
    </w:p>
    <w:p>
      <w:pPr>
        <w:pStyle w:val="Normal"/>
        <w:jc w:val="both"/>
        <w:rPr/>
      </w:pPr>
      <w:r>
        <w:rPr>
          <w:lang w:val="lv-LV"/>
        </w:rPr>
        <w:t xml:space="preserve">Es, apakšā parakstījies, apliecinu, ka_______________________________ (pretendenta nosaukums) iesniedz piedāvājumu iepirkumā </w:t>
      </w:r>
      <w:r>
        <w:rPr>
          <w:b/>
          <w:bCs/>
          <w:caps/>
          <w:lang w:val="lv-LV"/>
        </w:rPr>
        <w:t>„</w:t>
      </w:r>
      <w:r>
        <w:rPr>
          <w:b/>
          <w:bCs/>
          <w:iCs/>
          <w:caps/>
          <w:sz w:val="24"/>
          <w:szCs w:val="24"/>
          <w:lang w:val="lv-LV"/>
        </w:rPr>
        <w:t>TRANSPORTLĪDZEKĻA IEGĀDE</w:t>
      </w:r>
      <w:r>
        <w:rPr>
          <w:b/>
          <w:bCs/>
          <w:caps/>
          <w:szCs w:val="22"/>
          <w:lang w:val="lv-LV"/>
        </w:rPr>
        <w:t xml:space="preserve">” </w:t>
      </w:r>
      <w:r>
        <w:rPr>
          <w:lang w:val="lv-LV"/>
        </w:rPr>
        <w:t>(Iepirkuma identifikācijas Nr. DE 2024/10). Apstiprinām, ka esam iepazinušies ar iepirkuma procedūras Nolikumu un piekrītam visiem tajā minētajiem nosacījumiem, tie ir skaidri un saprotami, iebildumu un pretenziju pret tiem nav.</w:t>
      </w:r>
    </w:p>
    <w:p>
      <w:pPr>
        <w:pStyle w:val="Tv213limenis2"/>
        <w:spacing w:before="0" w:after="0"/>
        <w:ind w:left="1440" w:firstLine="720"/>
        <w:jc w:val="center"/>
        <w:rPr>
          <w:lang w:val="lv-LV"/>
        </w:rPr>
      </w:pPr>
      <w:r>
        <w:rPr>
          <w:lang w:val="lv-LV"/>
        </w:rPr>
      </w:r>
    </w:p>
    <w:tbl>
      <w:tblPr>
        <w:tblW w:w="10277" w:type="dxa"/>
        <w:jc w:val="left"/>
        <w:tblInd w:w="-178" w:type="dxa"/>
        <w:tblLayout w:type="fixed"/>
        <w:tblCellMar>
          <w:top w:w="0" w:type="dxa"/>
          <w:left w:w="0" w:type="dxa"/>
          <w:bottom w:w="0" w:type="dxa"/>
          <w:right w:w="0" w:type="dxa"/>
        </w:tblCellMar>
        <w:tblLook w:firstRow="1" w:noVBand="1" w:lastRow="0" w:firstColumn="1" w:lastColumn="0" w:noHBand="0" w:val="04a0"/>
      </w:tblPr>
      <w:tblGrid>
        <w:gridCol w:w="2569"/>
        <w:gridCol w:w="2559"/>
        <w:gridCol w:w="2567"/>
        <w:gridCol w:w="2581"/>
      </w:tblGrid>
      <w:tr>
        <w:trPr/>
        <w:tc>
          <w:tcPr>
            <w:tcW w:w="2569" w:type="dxa"/>
            <w:tcBorders>
              <w:bottom w:val="single" w:sz="4" w:space="0" w:color="000001"/>
            </w:tcBorders>
            <w:shd w:fill="auto" w:val="clear"/>
          </w:tcPr>
          <w:p>
            <w:pPr>
              <w:pStyle w:val="Tv213limenis2"/>
              <w:widowControl w:val="false"/>
              <w:spacing w:before="0" w:after="0"/>
              <w:rPr/>
            </w:pPr>
            <w:r>
              <w:rPr>
                <w:rFonts w:cs="Times New Roman" w:ascii="Times New Roman" w:hAnsi="Times New Roman"/>
                <w:b/>
                <w:bCs/>
                <w:lang w:val="lv-LV"/>
              </w:rPr>
              <w:t>1. Informācija par Pretendentu</w:t>
            </w:r>
          </w:p>
        </w:tc>
        <w:tc>
          <w:tcPr>
            <w:tcW w:w="2559" w:type="dxa"/>
            <w:tcBorders>
              <w:bottom w:val="single" w:sz="4" w:space="0" w:color="000001"/>
            </w:tcBorders>
            <w:shd w:fill="auto" w:val="clear"/>
          </w:tcPr>
          <w:p>
            <w:pPr>
              <w:pStyle w:val="Normal"/>
              <w:widowControl w:val="false"/>
              <w:snapToGrid w:val="false"/>
              <w:rPr>
                <w:lang w:val="lv-LV"/>
              </w:rPr>
            </w:pPr>
            <w:r>
              <w:rPr>
                <w:lang w:val="lv-LV"/>
              </w:rPr>
            </w:r>
          </w:p>
        </w:tc>
        <w:tc>
          <w:tcPr>
            <w:tcW w:w="2567" w:type="dxa"/>
            <w:tcBorders>
              <w:bottom w:val="single" w:sz="4" w:space="0" w:color="000001"/>
            </w:tcBorders>
            <w:shd w:fill="auto" w:val="clear"/>
          </w:tcPr>
          <w:p>
            <w:pPr>
              <w:pStyle w:val="Normal"/>
              <w:widowControl w:val="false"/>
              <w:snapToGrid w:val="false"/>
              <w:rPr>
                <w:lang w:val="lv-LV"/>
              </w:rPr>
            </w:pPr>
            <w:r>
              <w:rPr>
                <w:lang w:val="lv-LV"/>
              </w:rPr>
            </w:r>
          </w:p>
        </w:tc>
        <w:tc>
          <w:tcPr>
            <w:tcW w:w="2581" w:type="dxa"/>
            <w:tcBorders>
              <w:bottom w:val="single" w:sz="4" w:space="0" w:color="000001"/>
            </w:tcBorders>
            <w:shd w:fill="auto" w:val="clear"/>
          </w:tcPr>
          <w:p>
            <w:pPr>
              <w:pStyle w:val="Normal"/>
              <w:widowControl w:val="false"/>
              <w:snapToGrid w:val="false"/>
              <w:rPr>
                <w:lang w:val="lv-LV"/>
              </w:rPr>
            </w:pPr>
            <w:r>
              <w:rPr>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Pretendenta nosaukums: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Reģistrācijas numurs: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PVN maksātāja reģistrācijas numurs un datums: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Juridiskā adrese:</w:t>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0"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Mājas lapas adrese:</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bottom w:val="single" w:sz="4" w:space="0" w:color="000001"/>
            </w:tcBorders>
            <w:shd w:fill="auto" w:val="clear"/>
          </w:tcPr>
          <w:p>
            <w:pPr>
              <w:pStyle w:val="Tv213limenis2"/>
              <w:widowControl w:val="false"/>
              <w:spacing w:before="0" w:after="0"/>
              <w:jc w:val="both"/>
              <w:rPr/>
            </w:pPr>
            <w:r>
              <w:rPr>
                <w:rFonts w:cs="Times New Roman" w:ascii="Times New Roman" w:hAnsi="Times New Roman"/>
                <w:b/>
                <w:bCs/>
                <w:lang w:val="lv-LV"/>
              </w:rPr>
              <w:t>2. Kontaktpersona</w:t>
            </w:r>
          </w:p>
        </w:tc>
        <w:tc>
          <w:tcPr>
            <w:tcW w:w="2559" w:type="dxa"/>
            <w:tcBorders>
              <w:top w:val="single" w:sz="4" w:space="0" w:color="000001"/>
              <w:bottom w:val="single" w:sz="4" w:space="0" w:color="000001"/>
            </w:tcBorders>
            <w:shd w:fill="auto" w:val="clear"/>
          </w:tcPr>
          <w:p>
            <w:pPr>
              <w:pStyle w:val="Normal"/>
              <w:widowControl w:val="false"/>
              <w:snapToGrid w:val="false"/>
              <w:rPr>
                <w:lang w:val="lv-LV"/>
              </w:rPr>
            </w:pPr>
            <w:r>
              <w:rPr>
                <w:lang w:val="lv-LV"/>
              </w:rPr>
            </w:r>
          </w:p>
        </w:tc>
        <w:tc>
          <w:tcPr>
            <w:tcW w:w="2567" w:type="dxa"/>
            <w:tcBorders>
              <w:top w:val="single" w:sz="4" w:space="0" w:color="000001"/>
              <w:bottom w:val="single" w:sz="4" w:space="0" w:color="000001"/>
            </w:tcBorders>
            <w:shd w:fill="auto" w:val="clear"/>
          </w:tcPr>
          <w:p>
            <w:pPr>
              <w:pStyle w:val="Normal"/>
              <w:widowControl w:val="false"/>
              <w:snapToGrid w:val="false"/>
              <w:rPr>
                <w:lang w:val="lv-LV"/>
              </w:rPr>
            </w:pPr>
            <w:r>
              <w:rPr>
                <w:lang w:val="lv-LV"/>
              </w:rPr>
            </w:r>
          </w:p>
        </w:tc>
        <w:tc>
          <w:tcPr>
            <w:tcW w:w="2581" w:type="dxa"/>
            <w:tcBorders>
              <w:top w:val="single" w:sz="4" w:space="0" w:color="000001"/>
              <w:bottom w:val="single" w:sz="4" w:space="0" w:color="000001"/>
            </w:tcBorders>
            <w:shd w:fill="auto" w:val="clear"/>
          </w:tcPr>
          <w:p>
            <w:pPr>
              <w:pStyle w:val="Normal"/>
              <w:widowControl w:val="false"/>
              <w:snapToGrid w:val="false"/>
              <w:rPr>
                <w:lang w:val="lv-LV"/>
              </w:rPr>
            </w:pPr>
            <w:r>
              <w:rPr>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Vārds, uzvārds: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Amats: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403"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Tālrunis: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3"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E-pasts: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Normal"/>
        <w:rPr>
          <w:vanish/>
          <w:lang w:val="lv-LV"/>
        </w:rPr>
      </w:pPr>
      <w:r>
        <w:rPr>
          <w:vanish/>
          <w:lang w:val="lv-LV"/>
        </w:rPr>
      </w:r>
    </w:p>
    <w:tbl>
      <w:tblPr>
        <w:tblW w:w="10277" w:type="dxa"/>
        <w:jc w:val="left"/>
        <w:tblInd w:w="-178" w:type="dxa"/>
        <w:tblLayout w:type="fixed"/>
        <w:tblCellMar>
          <w:top w:w="0" w:type="dxa"/>
          <w:left w:w="0" w:type="dxa"/>
          <w:bottom w:w="0" w:type="dxa"/>
          <w:right w:w="0" w:type="dxa"/>
        </w:tblCellMar>
        <w:tblLook w:firstRow="1" w:noVBand="1" w:lastRow="0" w:firstColumn="1" w:lastColumn="0" w:noHBand="0" w:val="04a0"/>
      </w:tblPr>
      <w:tblGrid>
        <w:gridCol w:w="2569"/>
        <w:gridCol w:w="2559"/>
        <w:gridCol w:w="2567"/>
        <w:gridCol w:w="2581"/>
      </w:tblGrid>
      <w:tr>
        <w:trPr/>
        <w:tc>
          <w:tcPr>
            <w:tcW w:w="2569" w:type="dxa"/>
            <w:tcBorders>
              <w:bottom w:val="single" w:sz="4" w:space="0" w:color="000001"/>
            </w:tcBorders>
            <w:shd w:fill="auto" w:val="clear"/>
          </w:tcPr>
          <w:p>
            <w:pPr>
              <w:pStyle w:val="Tv213limenis2"/>
              <w:widowControl w:val="false"/>
              <w:spacing w:before="0" w:after="0"/>
              <w:jc w:val="both"/>
              <w:rPr/>
            </w:pPr>
            <w:r>
              <w:rPr>
                <w:rFonts w:cs="Times New Roman" w:ascii="Times New Roman" w:hAnsi="Times New Roman"/>
                <w:b/>
                <w:bCs/>
                <w:lang w:val="lv-LV"/>
              </w:rPr>
              <w:t>3. Finanšu rekvizīti</w:t>
            </w:r>
          </w:p>
        </w:tc>
        <w:tc>
          <w:tcPr>
            <w:tcW w:w="2559" w:type="dxa"/>
            <w:tcBorders>
              <w:bottom w:val="single" w:sz="4" w:space="0" w:color="000001"/>
            </w:tcBorders>
            <w:shd w:fill="auto" w:val="clear"/>
          </w:tcPr>
          <w:p>
            <w:pPr>
              <w:pStyle w:val="Normal"/>
              <w:widowControl w:val="false"/>
              <w:snapToGrid w:val="false"/>
              <w:rPr>
                <w:lang w:val="lv-LV"/>
              </w:rPr>
            </w:pPr>
            <w:r>
              <w:rPr>
                <w:lang w:val="lv-LV"/>
              </w:rPr>
            </w:r>
          </w:p>
        </w:tc>
        <w:tc>
          <w:tcPr>
            <w:tcW w:w="2567" w:type="dxa"/>
            <w:tcBorders>
              <w:bottom w:val="single" w:sz="4" w:space="0" w:color="000001"/>
            </w:tcBorders>
            <w:shd w:fill="auto" w:val="clear"/>
          </w:tcPr>
          <w:p>
            <w:pPr>
              <w:pStyle w:val="Normal"/>
              <w:widowControl w:val="false"/>
              <w:snapToGrid w:val="false"/>
              <w:rPr>
                <w:lang w:val="lv-LV"/>
              </w:rPr>
            </w:pPr>
            <w:r>
              <w:rPr>
                <w:lang w:val="lv-LV"/>
              </w:rPr>
            </w:r>
          </w:p>
        </w:tc>
        <w:tc>
          <w:tcPr>
            <w:tcW w:w="2581" w:type="dxa"/>
            <w:tcBorders>
              <w:bottom w:val="single" w:sz="4" w:space="0" w:color="000001"/>
            </w:tcBorders>
            <w:shd w:fill="auto" w:val="clear"/>
          </w:tcPr>
          <w:p>
            <w:pPr>
              <w:pStyle w:val="Normal"/>
              <w:widowControl w:val="false"/>
              <w:snapToGrid w:val="false"/>
              <w:rPr>
                <w:lang w:val="lv-LV"/>
              </w:rPr>
            </w:pPr>
            <w:r>
              <w:rPr>
                <w:lang w:val="lv-LV"/>
              </w:rPr>
            </w:r>
          </w:p>
        </w:tc>
      </w:tr>
      <w:tr>
        <w:trPr>
          <w:trHeight w:val="321"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Bankas nosaukums: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5"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Bankas kods: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55"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Konta numurs: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Tv213limenis2"/>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spacing w:before="0" w:after="0"/>
        <w:jc w:val="both"/>
        <w:rPr>
          <w:rFonts w:ascii="Times New Roman" w:hAnsi="Times New Roman" w:cs="Times New Roman"/>
          <w:lang w:val="lv-LV"/>
        </w:rPr>
      </w:pPr>
      <w:r>
        <w:rPr>
          <w:rFonts w:cs="Times New Roman" w:ascii="Times New Roman" w:hAnsi="Times New Roman"/>
          <w:lang w:val="lv-LV"/>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jc w:val="right"/>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Tv213limenis2"/>
        <w:spacing w:before="0" w:after="0"/>
        <w:jc w:val="center"/>
        <w:rPr>
          <w:lang w:val="lv-LV"/>
        </w:rPr>
      </w:pPr>
      <w:r>
        <w:rPr>
          <w:lang w:val="lv-LV"/>
        </w:rPr>
      </w:r>
    </w:p>
    <w:p>
      <w:pPr>
        <w:pStyle w:val="Tv213limenis2"/>
        <w:spacing w:before="0" w:after="0"/>
        <w:jc w:val="center"/>
        <w:rPr/>
      </w:pPr>
      <w:r>
        <w:rPr>
          <w:rFonts w:cs="Times New Roman" w:ascii="Times New Roman" w:hAnsi="Times New Roman"/>
          <w:lang w:val="lv-LV"/>
        </w:rPr>
        <w:t>Z.v.</w:t>
      </w:r>
      <w:r>
        <w:br w:type="page"/>
      </w:r>
    </w:p>
    <w:p>
      <w:pPr>
        <w:pStyle w:val="Tv213limenis2"/>
        <w:spacing w:before="0" w:after="0"/>
        <w:jc w:val="right"/>
        <w:rPr/>
      </w:pPr>
      <w:r>
        <w:rPr>
          <w:lang w:val="lv-LV"/>
        </w:rPr>
        <w:tab/>
      </w:r>
      <w:r>
        <w:rPr>
          <w:rFonts w:cs="Times New Roman" w:ascii="Times New Roman" w:hAnsi="Times New Roman"/>
          <w:b/>
          <w:bCs/>
          <w:lang w:val="lv-LV"/>
        </w:rPr>
        <w:t>2</w:t>
      </w:r>
      <w:r>
        <w:rPr>
          <w:b/>
          <w:bCs/>
          <w:lang w:val="lv-LV"/>
        </w:rPr>
        <w:t>.</w:t>
      </w:r>
      <w:r>
        <w:rPr>
          <w:rFonts w:eastAsia="Calibri" w:cs="Times New Roman" w:ascii="Times New Roman" w:hAnsi="Times New Roman"/>
          <w:b/>
          <w:bCs/>
          <w:lang w:val="lv-LV"/>
        </w:rPr>
        <w:t>pielikums</w:t>
      </w:r>
    </w:p>
    <w:p>
      <w:pPr>
        <w:pStyle w:val="Normal"/>
        <w:jc w:val="right"/>
        <w:rPr/>
      </w:pPr>
      <w:r>
        <w:rPr>
          <w:lang w:val="lv-LV"/>
        </w:rPr>
        <w:t>„</w:t>
      </w:r>
      <w:r>
        <w:rPr>
          <w:lang w:val="lv-LV"/>
        </w:rPr>
        <w:t>T</w:t>
      </w:r>
      <w:r>
        <w:rPr>
          <w:iCs/>
          <w:sz w:val="24"/>
          <w:szCs w:val="24"/>
          <w:lang w:val="lv-LV"/>
        </w:rPr>
        <w:t>ransportlīdzekļa iegāde</w:t>
      </w:r>
      <w:r>
        <w:rPr>
          <w:szCs w:val="22"/>
          <w:lang w:val="lv-LV"/>
        </w:rPr>
        <w:t>”</w:t>
      </w:r>
    </w:p>
    <w:p>
      <w:pPr>
        <w:pStyle w:val="Normal"/>
        <w:jc w:val="right"/>
        <w:rPr/>
      </w:pPr>
      <w:r>
        <w:rPr>
          <w:lang w:val="lv-LV"/>
        </w:rPr>
        <w:t>Iepirkuma identifikācijas Nr.</w:t>
      </w:r>
      <w:r>
        <w:rPr>
          <w:b/>
          <w:lang w:val="lv-LV"/>
        </w:rPr>
        <w:t xml:space="preserve"> </w:t>
      </w:r>
      <w:r>
        <mc:AlternateContent>
          <mc:Choice Requires="wps">
            <w:drawing>
              <wp:anchor behindDoc="0" distT="0" distB="0" distL="0" distR="0" simplePos="0" locked="0" layoutInCell="0" allowOverlap="1" relativeHeight="5">
                <wp:simplePos x="0" y="0"/>
                <wp:positionH relativeFrom="column">
                  <wp:posOffset>0</wp:posOffset>
                </wp:positionH>
                <wp:positionV relativeFrom="paragraph">
                  <wp:posOffset>222885</wp:posOffset>
                </wp:positionV>
                <wp:extent cx="6305550" cy="7620"/>
                <wp:effectExtent l="0" t="0" r="0" b="0"/>
                <wp:wrapNone/>
                <wp:docPr id="4" name="Image4"/>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17.55pt" to="496.45pt,18.1pt" ID="Image4" stroked="f" o:allowincell="f" style="position:absolute;flip:x">
                <v:stroke color="#3465a4" weight="9360" joinstyle="round" endcap="flat"/>
                <v:fill o:detectmouseclick="t" on="false"/>
                <w10:wrap type="none"/>
              </v:line>
            </w:pict>
          </mc:Fallback>
        </mc:AlternateContent>
      </w:r>
      <w:r>
        <w:rPr>
          <w:szCs w:val="22"/>
          <w:lang w:val="lv-LV"/>
        </w:rPr>
        <w:t>DE 2024/10</w:t>
      </w:r>
    </w:p>
    <w:p>
      <w:pPr>
        <w:pStyle w:val="Tv213limenis2"/>
        <w:spacing w:before="0" w:after="0"/>
        <w:jc w:val="center"/>
        <w:rPr/>
      </w:pPr>
      <w:r>
        <w:rPr>
          <w:rFonts w:cs="Times New Roman" w:ascii="Times New Roman" w:hAnsi="Times New Roman"/>
          <w:b/>
          <w:bCs/>
          <w:sz w:val="28"/>
          <w:lang w:val="lv-LV"/>
        </w:rPr>
        <w:t>TEHNISKĀ SPECIFIKĀCIJA</w:t>
      </w:r>
    </w:p>
    <w:p>
      <w:pPr>
        <w:pStyle w:val="Tv213limenis2"/>
        <w:spacing w:before="0" w:after="0"/>
        <w:rPr/>
      </w:pPr>
      <w:r>
        <w:rPr>
          <w:rFonts w:eastAsia="Times New Roman" w:cs="Times New Roman" w:ascii="Times New Roman" w:hAnsi="Times New Roman"/>
          <w:lang w:val="lv-LV"/>
        </w:rPr>
        <w:tab/>
        <w:tab/>
        <w:tab/>
        <w:tab/>
        <w:tab/>
        <w:tab/>
        <w:tab/>
        <w:tab/>
        <w:tab/>
        <w:tab/>
      </w:r>
    </w:p>
    <w:p>
      <w:pPr>
        <w:pStyle w:val="Tv213limenis2"/>
        <w:numPr>
          <w:ilvl w:val="0"/>
          <w:numId w:val="18"/>
        </w:numPr>
        <w:spacing w:before="0" w:after="0"/>
        <w:jc w:val="both"/>
        <w:rPr/>
      </w:pPr>
      <w:r>
        <w:rPr>
          <w:rFonts w:eastAsia="Times New Roman" w:cs="Times New Roman" w:ascii="Times New Roman" w:hAnsi="Times New Roman"/>
          <w:lang w:val="lv-LV"/>
        </w:rPr>
        <w:t xml:space="preserve">Tehniskā specifikācija sastāv no divām daļām: </w:t>
      </w:r>
    </w:p>
    <w:p>
      <w:pPr>
        <w:pStyle w:val="Tv213limenis2"/>
        <w:numPr>
          <w:ilvl w:val="1"/>
          <w:numId w:val="18"/>
        </w:numPr>
        <w:spacing w:before="0" w:after="0"/>
        <w:jc w:val="both"/>
        <w:rPr/>
      </w:pPr>
      <w:r>
        <w:rPr>
          <w:rFonts w:eastAsia="Times New Roman" w:cs="Times New Roman" w:ascii="Times New Roman" w:hAnsi="Times New Roman"/>
          <w:lang w:val="lv-LV"/>
        </w:rPr>
        <w:t>Obligātās prasības (tabula nr.1)</w:t>
      </w:r>
    </w:p>
    <w:p>
      <w:pPr>
        <w:pStyle w:val="Tv213limenis2"/>
        <w:numPr>
          <w:ilvl w:val="1"/>
          <w:numId w:val="18"/>
        </w:numPr>
        <w:spacing w:before="0" w:after="0"/>
        <w:jc w:val="both"/>
        <w:rPr/>
      </w:pPr>
      <w:r>
        <w:rPr>
          <w:rFonts w:eastAsia="Times New Roman" w:cs="Times New Roman" w:ascii="Times New Roman" w:hAnsi="Times New Roman"/>
          <w:color w:val="00000A"/>
          <w:kern w:val="2"/>
          <w:sz w:val="24"/>
          <w:szCs w:val="24"/>
          <w:lang w:val="lv-LV" w:eastAsia="zxx" w:bidi="zxx"/>
        </w:rPr>
        <w:t>Saimnieciski izdevīgākā piedāvājuma vērtēšanas parametri</w:t>
      </w:r>
      <w:r>
        <w:rPr>
          <w:rFonts w:eastAsia="Times New Roman" w:cs="Times New Roman" w:ascii="Times New Roman" w:hAnsi="Times New Roman"/>
          <w:lang w:val="lv-LV"/>
        </w:rPr>
        <w:t xml:space="preserve"> (tabula nr.2) – tiks vērtētas pēc Nolikuma</w:t>
      </w:r>
      <w:r>
        <w:rPr>
          <w:rFonts w:eastAsia="Times New Roman" w:cs="Times New Roman" w:ascii="Times New Roman" w:hAnsi="Times New Roman"/>
          <w:shd w:fill="auto" w:val="clear"/>
          <w:lang w:val="lv-LV"/>
        </w:rPr>
        <w:t xml:space="preserve"> 10.3.</w:t>
      </w:r>
      <w:r>
        <w:rPr>
          <w:rFonts w:eastAsia="Times New Roman" w:cs="Times New Roman" w:ascii="Times New Roman" w:hAnsi="Times New Roman"/>
          <w:lang w:val="lv-LV"/>
        </w:rPr>
        <w:t xml:space="preserve"> punktā minētās kārtības.</w:t>
      </w:r>
    </w:p>
    <w:p>
      <w:pPr>
        <w:pStyle w:val="Normal"/>
        <w:jc w:val="right"/>
        <w:rPr/>
      </w:pPr>
      <w:r>
        <w:rPr>
          <w:rFonts w:cs="Times New Roman"/>
          <w:b/>
          <w:bCs/>
          <w:color w:val="000000"/>
          <w:sz w:val="24"/>
          <w:lang w:val="lv-LV"/>
        </w:rPr>
        <w:t>Tabula Nr.1</w:t>
      </w:r>
    </w:p>
    <w:p>
      <w:pPr>
        <w:pStyle w:val="Tv213limenis2"/>
        <w:spacing w:before="0" w:after="0"/>
        <w:jc w:val="center"/>
        <w:rPr>
          <w:b/>
          <w:bCs/>
          <w:u w:val="single"/>
          <w:lang w:val="lv-LV"/>
        </w:rPr>
      </w:pPr>
      <w:r>
        <w:rPr>
          <w:rFonts w:eastAsia="Times New Roman" w:cs="Times New Roman" w:ascii="Times New Roman" w:hAnsi="Times New Roman"/>
          <w:b/>
          <w:bCs/>
          <w:color w:val="000000"/>
          <w:sz w:val="24"/>
          <w:u w:val="single"/>
          <w:lang w:val="lv-LV"/>
        </w:rPr>
        <w:t>Obligātās prasības</w:t>
      </w:r>
    </w:p>
    <w:tbl>
      <w:tblPr>
        <w:tblW w:w="10440" w:type="dxa"/>
        <w:jc w:val="left"/>
        <w:tblInd w:w="-94" w:type="dxa"/>
        <w:tblLayout w:type="fixed"/>
        <w:tblCellMar>
          <w:top w:w="0" w:type="dxa"/>
          <w:left w:w="10" w:type="dxa"/>
          <w:bottom w:w="0" w:type="dxa"/>
          <w:right w:w="90" w:type="dxa"/>
        </w:tblCellMar>
        <w:tblLook w:firstRow="1" w:noVBand="1" w:lastRow="0" w:firstColumn="1" w:lastColumn="0" w:noHBand="0" w:val="04a0"/>
      </w:tblPr>
      <w:tblGrid>
        <w:gridCol w:w="732"/>
        <w:gridCol w:w="3123"/>
        <w:gridCol w:w="4429"/>
        <w:gridCol w:w="2155"/>
      </w:tblGrid>
      <w:tr>
        <w:trPr>
          <w:trHeight w:val="594" w:hRule="atLeast"/>
        </w:trPr>
        <w:tc>
          <w:tcPr>
            <w:tcW w:w="8284" w:type="dxa"/>
            <w:gridSpan w:val="3"/>
            <w:tcBorders>
              <w:top w:val="single" w:sz="8" w:space="0" w:color="000001"/>
              <w:left w:val="single" w:sz="8" w:space="0" w:color="000001"/>
            </w:tcBorders>
            <w:shd w:fill="DDDDDD" w:val="clear"/>
          </w:tcPr>
          <w:p>
            <w:pPr>
              <w:pStyle w:val="Normal"/>
              <w:widowControl w:val="false"/>
              <w:jc w:val="center"/>
              <w:rPr/>
            </w:pPr>
            <w:r>
              <w:rPr>
                <w:b/>
                <w:bCs/>
                <w:lang w:val="lv-LV"/>
              </w:rPr>
              <w:t>Tehniskā specifikācija</w:t>
            </w:r>
          </w:p>
        </w:tc>
        <w:tc>
          <w:tcPr>
            <w:tcW w:w="2155" w:type="dxa"/>
            <w:tcBorders>
              <w:top w:val="single" w:sz="8" w:space="0" w:color="000001"/>
              <w:left w:val="single" w:sz="4" w:space="0" w:color="000001"/>
              <w:right w:val="single" w:sz="4" w:space="0" w:color="000001"/>
            </w:tcBorders>
            <w:shd w:fill="DDDDDD" w:val="clear"/>
            <w:tcMar>
              <w:left w:w="8" w:type="dxa"/>
            </w:tcMar>
          </w:tcPr>
          <w:p>
            <w:pPr>
              <w:pStyle w:val="Normal"/>
              <w:widowControl w:val="false"/>
              <w:jc w:val="center"/>
              <w:rPr/>
            </w:pPr>
            <w:r>
              <w:rPr>
                <w:b/>
                <w:bCs/>
                <w:lang w:val="lv-LV"/>
              </w:rPr>
              <w:t>Tehniskais piedāvājums</w:t>
            </w:r>
          </w:p>
          <w:p>
            <w:pPr>
              <w:pStyle w:val="Normal"/>
              <w:widowControl w:val="false"/>
              <w:jc w:val="center"/>
              <w:rPr/>
            </w:pPr>
            <w:r>
              <w:rPr>
                <w:b/>
                <w:bCs/>
                <w:lang w:val="lv-LV"/>
              </w:rPr>
              <w:t>(</w:t>
            </w:r>
            <w:r>
              <w:rPr>
                <w:lang w:val="lv-LV"/>
              </w:rPr>
              <w:t>aizpilda pretendents)</w:t>
            </w:r>
          </w:p>
        </w:tc>
      </w:tr>
      <w:tr>
        <w:trPr>
          <w:trHeight w:val="287" w:hRule="atLeast"/>
        </w:trPr>
        <w:tc>
          <w:tcPr>
            <w:tcW w:w="8284" w:type="dxa"/>
            <w:gridSpan w:val="3"/>
            <w:tcBorders>
              <w:top w:val="single" w:sz="8" w:space="0" w:color="000001"/>
              <w:left w:val="single" w:sz="8" w:space="0" w:color="000001"/>
              <w:bottom w:val="single" w:sz="4" w:space="0" w:color="000001"/>
            </w:tcBorders>
            <w:shd w:fill="auto" w:val="clear"/>
          </w:tcPr>
          <w:p>
            <w:pPr>
              <w:pStyle w:val="Normal"/>
              <w:widowControl w:val="false"/>
              <w:jc w:val="right"/>
              <w:rPr/>
            </w:pPr>
            <w:r>
              <w:rPr>
                <w:b w:val="false"/>
                <w:bCs w:val="false"/>
                <w:lang w:val="lv-LV"/>
              </w:rPr>
              <w:t>Piedāvātā transportlīdzekļa marka(ražotāja nosaukums) un modelis:</w:t>
            </w:r>
          </w:p>
        </w:tc>
        <w:tc>
          <w:tcPr>
            <w:tcW w:w="2155" w:type="dxa"/>
            <w:tcBorders>
              <w:top w:val="single" w:sz="8"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b/>
                <w:bCs/>
                <w:lang w:val="lv-LV"/>
              </w:rPr>
            </w:pPr>
            <w:r>
              <w:rPr>
                <w:b/>
                <w:bCs/>
                <w:lang w:val="lv-LV"/>
              </w:rPr>
            </w:r>
          </w:p>
        </w:tc>
      </w:tr>
      <w:tr>
        <w:trPr>
          <w:trHeight w:val="287" w:hRule="atLeast"/>
        </w:trPr>
        <w:tc>
          <w:tcPr>
            <w:tcW w:w="732" w:type="dxa"/>
            <w:tcBorders>
              <w:top w:val="single" w:sz="8" w:space="0" w:color="000001"/>
              <w:left w:val="single" w:sz="8" w:space="0" w:color="000001"/>
              <w:bottom w:val="single" w:sz="4" w:space="0" w:color="000001"/>
            </w:tcBorders>
            <w:shd w:fill="DDDDDD" w:val="clear"/>
          </w:tcPr>
          <w:p>
            <w:pPr>
              <w:pStyle w:val="Normal"/>
              <w:widowControl w:val="false"/>
              <w:rPr/>
            </w:pPr>
            <w:r>
              <w:rPr>
                <w:b/>
                <w:bCs/>
                <w:lang w:val="lv-LV"/>
              </w:rPr>
              <w:t>N.p.k.</w:t>
            </w:r>
          </w:p>
        </w:tc>
        <w:tc>
          <w:tcPr>
            <w:tcW w:w="3123" w:type="dxa"/>
            <w:tcBorders>
              <w:top w:val="single" w:sz="8" w:space="0" w:color="000001"/>
              <w:left w:val="single" w:sz="4" w:space="0" w:color="000001"/>
              <w:bottom w:val="single" w:sz="4" w:space="0" w:color="000001"/>
            </w:tcBorders>
            <w:shd w:fill="DDDDDD" w:val="clear"/>
            <w:tcMar>
              <w:left w:w="8" w:type="dxa"/>
            </w:tcMar>
          </w:tcPr>
          <w:p>
            <w:pPr>
              <w:pStyle w:val="Normal"/>
              <w:widowControl w:val="false"/>
              <w:jc w:val="center"/>
              <w:rPr/>
            </w:pPr>
            <w:r>
              <w:rPr>
                <w:b/>
                <w:bCs/>
                <w:lang w:val="lv-LV"/>
              </w:rPr>
              <w:t>Parametrs</w:t>
            </w:r>
          </w:p>
        </w:tc>
        <w:tc>
          <w:tcPr>
            <w:tcW w:w="4429" w:type="dxa"/>
            <w:tcBorders>
              <w:top w:val="single" w:sz="8" w:space="0" w:color="000001"/>
              <w:left w:val="single" w:sz="4" w:space="0" w:color="000001"/>
              <w:bottom w:val="single" w:sz="4" w:space="0" w:color="000001"/>
            </w:tcBorders>
            <w:shd w:fill="DDDDDD" w:val="clear"/>
            <w:tcMar>
              <w:left w:w="8" w:type="dxa"/>
            </w:tcMar>
          </w:tcPr>
          <w:p>
            <w:pPr>
              <w:pStyle w:val="Normal"/>
              <w:widowControl w:val="false"/>
              <w:jc w:val="center"/>
              <w:rPr/>
            </w:pPr>
            <w:r>
              <w:rPr>
                <w:b/>
                <w:bCs/>
                <w:lang w:val="lv-LV"/>
              </w:rPr>
              <w:t>Prasības</w:t>
            </w:r>
          </w:p>
        </w:tc>
        <w:tc>
          <w:tcPr>
            <w:tcW w:w="2155" w:type="dxa"/>
            <w:tcBorders>
              <w:top w:val="single" w:sz="8" w:space="0" w:color="000001"/>
              <w:left w:val="single" w:sz="4" w:space="0" w:color="000001"/>
              <w:bottom w:val="single" w:sz="4" w:space="0" w:color="000001"/>
              <w:right w:val="single" w:sz="4" w:space="0" w:color="000001"/>
            </w:tcBorders>
            <w:shd w:fill="DDDDDD" w:val="clear"/>
            <w:tcMar>
              <w:left w:w="8" w:type="dxa"/>
            </w:tcMar>
          </w:tcPr>
          <w:p>
            <w:pPr>
              <w:pStyle w:val="Normal"/>
              <w:widowControl w:val="false"/>
              <w:jc w:val="center"/>
              <w:rPr/>
            </w:pPr>
            <w:r>
              <w:rPr>
                <w:b/>
                <w:bCs/>
                <w:lang w:val="lv-LV"/>
              </w:rPr>
              <w:t>Pretendenta piedāvājums</w:t>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Transportlīdzekļu skaits, gab.</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rFonts w:eastAsia="Andale Sans UI" w:cs="Tahoma"/>
                <w:color w:val="00000A"/>
                <w:kern w:val="2"/>
                <w:sz w:val="24"/>
                <w:szCs w:val="22"/>
                <w:lang w:val="lv-LV" w:eastAsia="zxx" w:bidi="zxx"/>
              </w:rPr>
              <w:t>1</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Transportlīdzekļu kategorija</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N</w:t>
            </w:r>
            <w:r>
              <w:rPr>
                <w:szCs w:val="22"/>
                <w:vertAlign w:val="subscript"/>
                <w:lang w:val="lv-LV"/>
              </w:rPr>
              <w:t xml:space="preserve">1 </w:t>
            </w:r>
            <w:r>
              <w:rPr>
                <w:szCs w:val="22"/>
                <w:lang w:val="lv-LV"/>
              </w:rPr>
              <w:t>(vieglie komerciālie transportlīdzekļi)</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Transportlīdzekļa ražošanas gads</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2024 vai jaunāks</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Transportlīdzekļa tehniskais stāvoklis</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Jauns, iepriekš nereģistrēts un nelietots</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Degvielas veids</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Dīzelis</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highlight w:val="yellow"/>
                <w:lang w:val="lv-LV"/>
              </w:rPr>
            </w:pPr>
            <w:r>
              <w:rPr>
                <w:szCs w:val="22"/>
                <w:highlight w:val="yellow"/>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lang w:val="lv-LV"/>
              </w:rPr>
              <w:t>Motora jauda</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lang w:val="lv-LV"/>
              </w:rPr>
              <w:t xml:space="preserve">Ne mazāk par </w:t>
            </w:r>
            <w:r>
              <w:rPr>
                <w:rFonts w:eastAsia="Andale Sans UI" w:cs="Tahoma"/>
                <w:color w:val="00000A"/>
                <w:kern w:val="2"/>
                <w:sz w:val="24"/>
                <w:szCs w:val="24"/>
                <w:lang w:val="lv-LV" w:eastAsia="zxx" w:bidi="zxx"/>
              </w:rPr>
              <w:t>100</w:t>
            </w:r>
            <w:r>
              <w:rPr>
                <w:lang w:val="lv-LV"/>
              </w:rPr>
              <w:t xml:space="preserve"> zs</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Virsbūves tips</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Kravas furgons</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Sēdvietu skaits</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1+2 (vadītājs un divi pasažieri)</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Kravas telpa</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Aiz vadītāja, nodalīta</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Durvju skaits</w:t>
            </w:r>
          </w:p>
        </w:tc>
        <w:tc>
          <w:tcPr>
            <w:tcW w:w="4429"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2 + 2  (vadītāja un pasažieru pusē +  kravas telpas aizmugurējās un bīdāmās durvis labajā pusē)</w:t>
            </w:r>
          </w:p>
        </w:tc>
        <w:tc>
          <w:tcPr>
            <w:tcW w:w="2155"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Riepu izmērs</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Ne mazāks kā R14</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Pārnesumkārbas veids</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Mehāniskā</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vMerge w:val="restart"/>
            <w:tcBorders>
              <w:left w:val="single" w:sz="4" w:space="0" w:color="000001"/>
              <w:bottom w:val="single" w:sz="4" w:space="0" w:color="000001"/>
            </w:tcBorders>
            <w:shd w:fill="auto" w:val="clear"/>
            <w:tcMar>
              <w:left w:w="8" w:type="dxa"/>
            </w:tcMar>
            <w:vAlign w:val="center"/>
          </w:tcPr>
          <w:p>
            <w:pPr>
              <w:pStyle w:val="Normal"/>
              <w:widowControl w:val="false"/>
              <w:jc w:val="center"/>
              <w:rPr/>
            </w:pPr>
            <w:r>
              <w:rPr>
                <w:szCs w:val="22"/>
                <w:lang w:val="lv-LV"/>
              </w:rPr>
              <w:t>Papildus aprīkojumā</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t>Rezerves riepa</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Auto lietošanas instrukcija latviešu valodā</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Piespiedu apstāšanās – avārijas zīme</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Ugunsdzēšamais aparāts (nostiprināts)</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Medicīniskā aptieciņa atbilstoši normatīvo aktu prasībām</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Atbilstošs instrumentu komplekts rezerves riteņu nomaiņai</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Gaisa drošības spilvens “airbag” vadītājam un pasažierim</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Stūres augstuma regulēšana</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tcBorders>
              <w:left w:val="single" w:sz="4" w:space="0" w:color="000001"/>
              <w:bottom w:val="single" w:sz="4" w:space="0" w:color="000001"/>
            </w:tcBorders>
            <w:shd w:fill="auto" w:val="clear"/>
            <w:tcMar>
              <w:left w:w="8" w:type="dxa"/>
            </w:tcMar>
          </w:tcPr>
          <w:p>
            <w:pPr>
              <w:pStyle w:val="Normal"/>
              <w:widowControl w:val="false"/>
              <w:jc w:val="center"/>
              <w:rPr/>
            </w:pPr>
            <w:r>
              <w:rPr/>
              <w:t>Virsbūves krāsa</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highlight w:val="yellow"/>
              </w:rPr>
            </w:pPr>
            <w:r>
              <w:rPr/>
              <w:t>Balta</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Vadītāja sēdekļa regulēšana</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lang w:val="lv-LV"/>
              </w:rPr>
              <w:t>Gaisa kondicionieris</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Centrālā durvju slēdzene ar distances vadību</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Priekšējo logu elektriskie stiklu pacēlāji</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Elektriski vadāmi sānu skata spoguļi</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Salona un kravas telpas apgaismojums</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Radio un audio sistēma ar USB un Bluetooth</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Priekšējie un aizmugurējie dubļusargi</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Melni gumijas paklājiņi vadītājam un pasažieriem</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Sakabes āķis (nav obligāti jābūt ražotāja izstrādātam)</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Papildus pretkorozijas apstrāde</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Autonomā apsilde</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Kruīza kontrole</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highlight w:val="none"/>
                <w:shd w:fill="auto" w:val="clear"/>
              </w:rPr>
            </w:pPr>
            <w:r>
              <w:rPr>
                <w:shd w:fill="auto" w:val="clea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highlight w:val="none"/>
                <w:shd w:fill="auto" w:val="clear"/>
              </w:rPr>
            </w:pPr>
            <w:r>
              <w:rPr>
                <w:shd w:fill="auto" w:val="clear"/>
              </w:rPr>
              <w:t>Atpakaļskata kamera</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highlight w:val="none"/>
                <w:shd w:fill="auto" w:val="clear"/>
              </w:rPr>
            </w:pPr>
            <w:r>
              <w:rPr>
                <w:shd w:fill="auto" w:val="clear"/>
              </w:rPr>
            </w:r>
          </w:p>
        </w:tc>
        <w:tc>
          <w:tcPr>
            <w:tcW w:w="7552" w:type="dxa"/>
            <w:gridSpan w:val="2"/>
            <w:tcBorders>
              <w:left w:val="single" w:sz="4" w:space="0" w:color="000001"/>
              <w:bottom w:val="single" w:sz="4" w:space="0" w:color="000001"/>
            </w:tcBorders>
            <w:shd w:fill="auto" w:val="clear"/>
            <w:tcMar>
              <w:left w:w="8" w:type="dxa"/>
            </w:tcMar>
          </w:tcPr>
          <w:p>
            <w:pPr>
              <w:pStyle w:val="Normal"/>
              <w:widowControl w:val="false"/>
              <w:jc w:val="center"/>
              <w:rPr>
                <w:highlight w:val="none"/>
                <w:shd w:fill="auto" w:val="clear"/>
              </w:rPr>
            </w:pPr>
            <w:r>
              <w:rPr>
                <w:shd w:fill="auto" w:val="clear"/>
              </w:rPr>
              <w:t>Kravas telpas grīdas apstrāde pret mehāniskajiem bojājumiem ar polipuretāna pārklājums</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Transportlīdzekļu reģistrēšana un sagatavošana</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Pretendents nodrošina piedāvāto transportlīdzekļu reģistrāciju uz pasūtītāja vārda Latvijas Republikas normatīvajos aktos noteiktajā kārtībā – veic tā pirmreizējo reģistrāciju, saņem transportlīdzekļa reģistrācijas apliecību un valsts reģistrācijas numura zīmi, OCTA uz 12 mēnešiem (vienu gadu).</w:t>
            </w:r>
          </w:p>
          <w:p>
            <w:pPr>
              <w:pStyle w:val="Normal"/>
              <w:widowControl w:val="false"/>
              <w:jc w:val="center"/>
              <w:rPr>
                <w:szCs w:val="22"/>
                <w:lang w:val="lv-LV"/>
              </w:rPr>
            </w:pPr>
            <w:r>
              <w:rPr>
                <w:szCs w:val="22"/>
                <w:lang w:val="lv-LV"/>
              </w:rPr>
            </w:r>
          </w:p>
          <w:p>
            <w:pPr>
              <w:pStyle w:val="Normal"/>
              <w:widowControl w:val="false"/>
              <w:jc w:val="center"/>
              <w:rPr/>
            </w:pPr>
            <w:r>
              <w:rPr>
                <w:szCs w:val="22"/>
                <w:lang w:val="lv-LV"/>
              </w:rPr>
              <w:t>Pretendents nodrošina piedāvāto transportlīdzekļu tehnisko apskati un saņem tehniskās apskates uzlīmi.</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123" w:type="dxa"/>
            <w:tcBorders>
              <w:left w:val="single" w:sz="4" w:space="0" w:color="000001"/>
              <w:bottom w:val="single" w:sz="4" w:space="0" w:color="000001"/>
            </w:tcBorders>
            <w:shd w:fill="auto" w:val="clear"/>
            <w:tcMar>
              <w:left w:w="8" w:type="dxa"/>
            </w:tcMar>
          </w:tcPr>
          <w:p>
            <w:pPr>
              <w:pStyle w:val="Normal"/>
              <w:widowControl w:val="false"/>
              <w:jc w:val="center"/>
              <w:rPr/>
            </w:pPr>
            <w:r>
              <w:rPr/>
              <w:t>Piegāde</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Ne ilgāk kā 4 (četru) mēnešu laikā no līguma noslēgšanas dienas</w:t>
            </w:r>
          </w:p>
          <w:p>
            <w:pPr>
              <w:pStyle w:val="Normal"/>
              <w:widowControl w:val="false"/>
              <w:jc w:val="center"/>
              <w:rPr/>
            </w:pPr>
            <w:r>
              <w:rPr>
                <w:szCs w:val="22"/>
                <w:lang w:val="lv-LV"/>
              </w:rPr>
              <w:t>Sagatavo auto braukšanai, papildus nodrošinot bākā vismaz 20 l degvielas.</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2" w:type="dxa"/>
            <w:tcBorders>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123"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Garantija</w:t>
            </w:r>
          </w:p>
        </w:tc>
        <w:tc>
          <w:tcPr>
            <w:tcW w:w="4429"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Ne mazāk kā trīs gadi vai 100 000 km nobraukums.</w:t>
            </w:r>
          </w:p>
        </w:tc>
        <w:tc>
          <w:tcPr>
            <w:tcW w:w="2155"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bl>
    <w:p>
      <w:pPr>
        <w:pStyle w:val="Header"/>
        <w:spacing w:lineRule="auto" w:line="240"/>
        <w:jc w:val="right"/>
        <w:rPr/>
      </w:pPr>
      <w:r>
        <w:rPr>
          <w:rFonts w:cs="Times New Roman" w:ascii="Times New Roman" w:hAnsi="Times New Roman"/>
          <w:b/>
          <w:bCs/>
          <w:color w:val="000000"/>
          <w:sz w:val="24"/>
        </w:rPr>
        <w:t>Tabula Nr.2</w:t>
      </w:r>
    </w:p>
    <w:p>
      <w:pPr>
        <w:pStyle w:val="Tv213limenis2"/>
        <w:spacing w:before="0" w:after="0"/>
        <w:jc w:val="center"/>
        <w:rPr/>
      </w:pPr>
      <w:r>
        <w:rPr>
          <w:rFonts w:eastAsia="Times New Roman" w:cs="Times New Roman" w:ascii="Times New Roman" w:hAnsi="Times New Roman"/>
          <w:b/>
          <w:bCs/>
          <w:color w:val="000000"/>
          <w:kern w:val="2"/>
          <w:sz w:val="24"/>
          <w:szCs w:val="24"/>
          <w:u w:val="single"/>
          <w:shd w:fill="auto" w:val="clear"/>
          <w:lang w:val="lv-LV" w:eastAsia="zxx" w:bidi="zxx"/>
        </w:rPr>
        <w:t>Papildus vērtējamie pa</w:t>
      </w:r>
      <w:r>
        <w:rPr>
          <w:rFonts w:eastAsia="Times New Roman" w:cs="Times New Roman" w:ascii="Times New Roman" w:hAnsi="Times New Roman"/>
          <w:b/>
          <w:bCs/>
          <w:color w:val="000000"/>
          <w:kern w:val="2"/>
          <w:sz w:val="24"/>
          <w:szCs w:val="24"/>
          <w:u w:val="single"/>
          <w:lang w:val="lv-LV" w:eastAsia="zxx" w:bidi="zxx"/>
        </w:rPr>
        <w:t>rametri</w:t>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845"/>
        <w:gridCol w:w="4112"/>
        <w:gridCol w:w="1906"/>
        <w:gridCol w:w="14"/>
        <w:gridCol w:w="3044"/>
      </w:tblGrid>
      <w:tr>
        <w:trPr>
          <w:tblHeader w:val="true"/>
          <w:trHeight w:val="594" w:hRule="atLeast"/>
        </w:trPr>
        <w:tc>
          <w:tcPr>
            <w:tcW w:w="6877" w:type="dxa"/>
            <w:gridSpan w:val="4"/>
            <w:tcBorders>
              <w:top w:val="single" w:sz="8" w:space="0" w:color="000001"/>
              <w:left w:val="single" w:sz="8" w:space="0" w:color="000001"/>
            </w:tcBorders>
            <w:shd w:fill="CCCCCC" w:val="clear"/>
          </w:tcPr>
          <w:p>
            <w:pPr>
              <w:pStyle w:val="Normal"/>
              <w:widowControl w:val="false"/>
              <w:jc w:val="center"/>
              <w:rPr/>
            </w:pPr>
            <w:r>
              <w:rPr>
                <w:b/>
                <w:bCs/>
                <w:lang w:val="lv-LV"/>
              </w:rPr>
              <w:t>Tehniskā specifikācija</w:t>
            </w:r>
          </w:p>
        </w:tc>
        <w:tc>
          <w:tcPr>
            <w:tcW w:w="3044" w:type="dxa"/>
            <w:tcBorders>
              <w:top w:val="single" w:sz="8" w:space="0" w:color="000001"/>
              <w:left w:val="single" w:sz="4" w:space="0" w:color="000001"/>
              <w:right w:val="single" w:sz="4" w:space="0" w:color="000001"/>
            </w:tcBorders>
            <w:shd w:fill="CCCCCC" w:val="clear"/>
            <w:tcMar>
              <w:left w:w="8" w:type="dxa"/>
            </w:tcMar>
          </w:tcPr>
          <w:p>
            <w:pPr>
              <w:pStyle w:val="Normal"/>
              <w:widowControl w:val="false"/>
              <w:jc w:val="center"/>
              <w:rPr/>
            </w:pPr>
            <w:r>
              <w:rPr>
                <w:b/>
                <w:bCs/>
                <w:lang w:val="lv-LV"/>
              </w:rPr>
              <w:t>Tehniskais piedāvājums</w:t>
            </w:r>
          </w:p>
          <w:p>
            <w:pPr>
              <w:pStyle w:val="Normal"/>
              <w:widowControl w:val="false"/>
              <w:jc w:val="center"/>
              <w:rPr/>
            </w:pPr>
            <w:r>
              <w:rPr>
                <w:b/>
                <w:bCs/>
                <w:lang w:val="lv-LV"/>
              </w:rPr>
              <w:t>(</w:t>
            </w:r>
            <w:r>
              <w:rPr>
                <w:lang w:val="lv-LV"/>
              </w:rPr>
              <w:t>aizpilda pretendents)</w:t>
            </w:r>
          </w:p>
        </w:tc>
      </w:tr>
      <w:tr>
        <w:trPr>
          <w:trHeight w:val="286" w:hRule="atLeast"/>
        </w:trPr>
        <w:tc>
          <w:tcPr>
            <w:tcW w:w="845" w:type="dxa"/>
            <w:tcBorders>
              <w:top w:val="single" w:sz="4" w:space="0" w:color="000001"/>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018" w:type="dxa"/>
            <w:gridSpan w:val="2"/>
            <w:tcBorders>
              <w:top w:val="single" w:sz="4" w:space="0" w:color="000001"/>
              <w:left w:val="single" w:sz="4" w:space="0" w:color="000001"/>
              <w:bottom w:val="single" w:sz="4" w:space="0" w:color="000001"/>
            </w:tcBorders>
            <w:shd w:fill="auto" w:val="clear"/>
            <w:tcMar>
              <w:left w:w="8" w:type="dxa"/>
            </w:tcMar>
          </w:tcPr>
          <w:p>
            <w:pPr>
              <w:pStyle w:val="Normal"/>
              <w:widowControl w:val="false"/>
              <w:rPr>
                <w:rFonts w:ascii="Times New Roman" w:hAnsi="Times New Roman" w:eastAsia="Andale Sans UI" w:cs="Tahoma"/>
                <w:color w:val="00000A"/>
                <w:kern w:val="2"/>
                <w:sz w:val="24"/>
                <w:szCs w:val="22"/>
                <w:lang w:val="lv-LV" w:eastAsia="zxx" w:bidi="zxx"/>
              </w:rPr>
            </w:pPr>
            <w:r>
              <w:rPr>
                <w:szCs w:val="22"/>
                <w:lang w:val="lv-LV"/>
              </w:rPr>
              <w:t>Piegādes laiks</w:t>
            </w:r>
          </w:p>
        </w:tc>
        <w:tc>
          <w:tcPr>
            <w:tcW w:w="3058" w:type="dxa"/>
            <w:gridSpan w:val="2"/>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320" w:hRule="atLeast"/>
        </w:trPr>
        <w:tc>
          <w:tcPr>
            <w:tcW w:w="845" w:type="dxa"/>
            <w:tcBorders>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018" w:type="dxa"/>
            <w:gridSpan w:val="2"/>
            <w:tcBorders>
              <w:left w:val="single" w:sz="4" w:space="0" w:color="000001"/>
              <w:bottom w:val="single" w:sz="4" w:space="0" w:color="000001"/>
            </w:tcBorders>
            <w:shd w:fill="auto" w:val="clear"/>
            <w:tcMar>
              <w:left w:w="8" w:type="dxa"/>
            </w:tcMar>
          </w:tcPr>
          <w:p>
            <w:pPr>
              <w:pStyle w:val="Normal"/>
              <w:widowControl w:val="false"/>
              <w:rPr>
                <w:szCs w:val="22"/>
                <w:lang w:val="lv-LV"/>
              </w:rPr>
            </w:pPr>
            <w:r>
              <w:rPr>
                <w:szCs w:val="22"/>
                <w:lang w:val="lv-LV"/>
              </w:rPr>
              <w:t xml:space="preserve">Priekšējie logu </w:t>
            </w:r>
            <w:r>
              <w:rPr>
                <w:rFonts w:eastAsia="Andale Sans UI" w:cs="Tahoma"/>
                <w:color w:val="00000A"/>
                <w:kern w:val="2"/>
                <w:sz w:val="24"/>
                <w:szCs w:val="22"/>
                <w:lang w:val="lv-LV" w:eastAsia="zxx" w:bidi="zxx"/>
              </w:rPr>
              <w:t>tīrītāji</w:t>
            </w:r>
            <w:r>
              <w:rPr>
                <w:szCs w:val="22"/>
                <w:lang w:val="lv-LV"/>
              </w:rPr>
              <w:t xml:space="preserve"> ar lietus sensoru</w:t>
            </w:r>
          </w:p>
        </w:tc>
        <w:tc>
          <w:tcPr>
            <w:tcW w:w="3058"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86" w:hRule="atLeast"/>
        </w:trPr>
        <w:tc>
          <w:tcPr>
            <w:tcW w:w="845" w:type="dxa"/>
            <w:tcBorders>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018" w:type="dxa"/>
            <w:gridSpan w:val="2"/>
            <w:tcBorders>
              <w:left w:val="single" w:sz="4" w:space="0" w:color="000001"/>
              <w:bottom w:val="single" w:sz="4" w:space="0" w:color="000001"/>
            </w:tcBorders>
            <w:shd w:fill="auto" w:val="clear"/>
            <w:tcMar>
              <w:left w:w="8" w:type="dxa"/>
            </w:tcMar>
          </w:tcPr>
          <w:p>
            <w:pPr>
              <w:pStyle w:val="Normal"/>
              <w:widowControl w:val="false"/>
              <w:rPr>
                <w:szCs w:val="22"/>
                <w:lang w:val="lv-LV"/>
              </w:rPr>
            </w:pPr>
            <w:r>
              <w:rPr>
                <w:szCs w:val="22"/>
                <w:lang w:val="lv-LV"/>
              </w:rPr>
              <w:t>Navigācijas sistēma</w:t>
            </w:r>
          </w:p>
        </w:tc>
        <w:tc>
          <w:tcPr>
            <w:tcW w:w="3058"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86" w:hRule="atLeast"/>
        </w:trPr>
        <w:tc>
          <w:tcPr>
            <w:tcW w:w="845" w:type="dxa"/>
            <w:tcBorders>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018" w:type="dxa"/>
            <w:gridSpan w:val="2"/>
            <w:tcBorders>
              <w:left w:val="single" w:sz="4" w:space="0" w:color="000001"/>
              <w:bottom w:val="single" w:sz="4" w:space="0" w:color="000001"/>
            </w:tcBorders>
            <w:shd w:fill="auto" w:val="clear"/>
            <w:tcMar>
              <w:left w:w="8" w:type="dxa"/>
            </w:tcMar>
          </w:tcPr>
          <w:p>
            <w:pPr>
              <w:pStyle w:val="Normal"/>
              <w:widowControl w:val="false"/>
              <w:rPr>
                <w:szCs w:val="22"/>
                <w:lang w:val="lv-LV"/>
              </w:rPr>
            </w:pPr>
            <w:r>
              <w:rPr>
                <w:rFonts w:eastAsia="Andale Sans UI" w:cs="Tahoma"/>
                <w:color w:val="00000A"/>
                <w:kern w:val="2"/>
                <w:sz w:val="24"/>
                <w:szCs w:val="22"/>
                <w:lang w:val="lv-LV" w:eastAsia="zxx" w:bidi="zxx"/>
              </w:rPr>
              <w:t>Distances sensori priekšā un aizmugurē</w:t>
            </w:r>
          </w:p>
        </w:tc>
        <w:tc>
          <w:tcPr>
            <w:tcW w:w="3058"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86" w:hRule="atLeast"/>
        </w:trPr>
        <w:tc>
          <w:tcPr>
            <w:tcW w:w="845" w:type="dxa"/>
            <w:tcBorders>
              <w:left w:val="single" w:sz="8" w:space="0" w:color="000001"/>
              <w:bottom w:val="single" w:sz="4" w:space="0" w:color="000001"/>
            </w:tcBorders>
            <w:shd w:fill="auto" w:val="clear"/>
          </w:tcPr>
          <w:p>
            <w:pPr>
              <w:pStyle w:val="Normal"/>
              <w:widowControl w:val="false"/>
              <w:numPr>
                <w:ilvl w:val="0"/>
                <w:numId w:val="7"/>
              </w:numPr>
              <w:jc w:val="center"/>
              <w:rPr>
                <w:lang w:val="lv-LV"/>
              </w:rPr>
            </w:pPr>
            <w:r>
              <w:rPr>
                <w:lang w:val="lv-LV"/>
              </w:rPr>
            </w:r>
          </w:p>
        </w:tc>
        <w:tc>
          <w:tcPr>
            <w:tcW w:w="6018" w:type="dxa"/>
            <w:gridSpan w:val="2"/>
            <w:tcBorders>
              <w:left w:val="single" w:sz="4" w:space="0" w:color="000001"/>
              <w:bottom w:val="single" w:sz="4" w:space="0" w:color="000001"/>
            </w:tcBorders>
            <w:shd w:fill="auto" w:val="clear"/>
            <w:tcMar>
              <w:left w:w="8" w:type="dxa"/>
            </w:tcMar>
          </w:tcPr>
          <w:p>
            <w:pPr>
              <w:pStyle w:val="Normal"/>
              <w:widowControl w:val="false"/>
              <w:rPr>
                <w:szCs w:val="22"/>
                <w:lang w:val="lv-LV"/>
              </w:rPr>
            </w:pPr>
            <w:r>
              <w:rPr>
                <w:szCs w:val="22"/>
                <w:lang w:val="lv-LV"/>
              </w:rPr>
              <w:t>Pasīvā “aklo” zonu uzraudzības sistēma</w:t>
            </w:r>
          </w:p>
        </w:tc>
        <w:tc>
          <w:tcPr>
            <w:tcW w:w="3058"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c>
          <w:tcPr>
            <w:tcW w:w="4957" w:type="dxa"/>
            <w:gridSpan w:val="2"/>
            <w:tcBorders/>
            <w:shd w:fill="auto" w:val="clear"/>
          </w:tcPr>
          <w:p>
            <w:pPr>
              <w:pStyle w:val="TableContents"/>
              <w:widowControl w:val="false"/>
              <w:jc w:val="right"/>
              <w:rPr/>
            </w:pPr>
            <w:r>
              <w:rPr>
                <w:lang w:val="lv-LV"/>
              </w:rPr>
              <w:t>Vārds, Uzvārds:</w:t>
            </w:r>
          </w:p>
        </w:tc>
        <w:tc>
          <w:tcPr>
            <w:tcW w:w="4964" w:type="dxa"/>
            <w:gridSpan w:val="3"/>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57" w:type="dxa"/>
            <w:gridSpan w:val="2"/>
            <w:tcBorders/>
            <w:shd w:fill="auto" w:val="clear"/>
          </w:tcPr>
          <w:p>
            <w:pPr>
              <w:pStyle w:val="TableContents"/>
              <w:widowControl w:val="false"/>
              <w:jc w:val="right"/>
              <w:rPr/>
            </w:pPr>
            <w:r>
              <w:rPr>
                <w:lang w:val="lv-LV"/>
              </w:rPr>
              <w:t>Amata nosaukums:</w:t>
            </w:r>
          </w:p>
        </w:tc>
        <w:tc>
          <w:tcPr>
            <w:tcW w:w="4964" w:type="dxa"/>
            <w:gridSpan w:val="3"/>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57" w:type="dxa"/>
            <w:gridSpan w:val="2"/>
            <w:tcBorders/>
            <w:shd w:fill="auto" w:val="clear"/>
          </w:tcPr>
          <w:p>
            <w:pPr>
              <w:pStyle w:val="TableContents"/>
              <w:widowControl w:val="false"/>
              <w:jc w:val="right"/>
              <w:rPr/>
            </w:pPr>
            <w:r>
              <w:rPr>
                <w:lang w:val="lv-LV"/>
              </w:rPr>
              <w:t>Paraksts:</w:t>
            </w:r>
          </w:p>
        </w:tc>
        <w:tc>
          <w:tcPr>
            <w:tcW w:w="4964" w:type="dxa"/>
            <w:gridSpan w:val="3"/>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57" w:type="dxa"/>
            <w:gridSpan w:val="2"/>
            <w:tcBorders/>
            <w:shd w:fill="auto" w:val="clear"/>
          </w:tcPr>
          <w:p>
            <w:pPr>
              <w:pStyle w:val="TableContents"/>
              <w:widowControl w:val="false"/>
              <w:jc w:val="right"/>
              <w:rPr/>
            </w:pPr>
            <w:r>
              <w:rPr>
                <w:lang w:val="lv-LV"/>
              </w:rPr>
              <w:t>Datums:</w:t>
            </w:r>
          </w:p>
        </w:tc>
        <w:tc>
          <w:tcPr>
            <w:tcW w:w="4964" w:type="dxa"/>
            <w:gridSpan w:val="3"/>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Tv213limenis2"/>
        <w:spacing w:before="0" w:after="0"/>
        <w:jc w:val="right"/>
        <w:rPr>
          <w:rFonts w:ascii="Times New Roman" w:hAnsi="Times New Roman" w:cs="Times New Roman"/>
          <w:b/>
          <w:bCs/>
          <w:lang w:val="lv-LV"/>
        </w:rPr>
      </w:pPr>
      <w:r>
        <w:rPr>
          <w:rFonts w:cs="Times New Roman" w:ascii="Times New Roman" w:hAnsi="Times New Roman"/>
          <w:b/>
          <w:bCs/>
          <w:lang w:val="lv-LV"/>
        </w:rPr>
      </w:r>
      <w:r>
        <w:br w:type="page"/>
      </w:r>
    </w:p>
    <w:p>
      <w:pPr>
        <w:pStyle w:val="Tv213limenis2"/>
        <w:spacing w:before="0" w:after="0"/>
        <w:jc w:val="right"/>
        <w:rPr/>
      </w:pPr>
      <w:r>
        <w:rPr>
          <w:rFonts w:cs="Times New Roman" w:ascii="Times New Roman" w:hAnsi="Times New Roman"/>
          <w:b/>
          <w:bCs/>
          <w:lang w:val="lv-LV"/>
        </w:rPr>
        <w:t>3.pielikums</w:t>
      </w:r>
    </w:p>
    <w:p>
      <w:pPr>
        <w:pStyle w:val="Normal"/>
        <w:jc w:val="right"/>
        <w:rPr/>
      </w:pPr>
      <w:r>
        <w:rPr>
          <w:lang w:val="lv-LV"/>
        </w:rPr>
        <w:t>„</w:t>
      </w:r>
      <w:r>
        <w:rPr>
          <w:lang w:val="lv-LV"/>
        </w:rPr>
        <w:t>T</w:t>
      </w:r>
      <w:bookmarkStart w:id="9" w:name="__DdeLink__1173_2792384715"/>
      <w:r>
        <w:rPr>
          <w:iCs/>
          <w:sz w:val="24"/>
          <w:szCs w:val="24"/>
          <w:lang w:val="lv-LV"/>
        </w:rPr>
        <w:t>ransportlīdzekļa iegāde</w:t>
      </w:r>
      <w:bookmarkEnd w:id="9"/>
      <w:r>
        <w:rPr>
          <w:szCs w:val="22"/>
          <w:lang w:val="lv-LV"/>
        </w:rPr>
        <w:t>”</w:t>
      </w:r>
    </w:p>
    <w:p>
      <w:pPr>
        <w:pStyle w:val="Normal"/>
        <w:jc w:val="right"/>
        <w:rPr/>
      </w:pPr>
      <w:r>
        <w:rPr>
          <w:lang w:val="lv-LV"/>
        </w:rPr>
        <w:t>Iepirkuma identifikācijas Nr.</w:t>
      </w:r>
      <w:r>
        <w:rPr>
          <w:b/>
          <w:lang w:val="lv-LV"/>
        </w:rPr>
        <w:t xml:space="preserve"> </w:t>
      </w:r>
      <w:r>
        <w:rPr>
          <w:szCs w:val="22"/>
          <w:lang w:val="lv-LV"/>
        </w:rPr>
        <w:t>DE 20</w:t>
      </w:r>
      <w:r>
        <w:rPr>
          <w:rFonts w:eastAsia="Andale Sans UI" w:cs="Tahoma"/>
          <w:color w:val="00000A"/>
          <w:kern w:val="2"/>
          <w:sz w:val="24"/>
          <w:szCs w:val="22"/>
          <w:lang w:val="lv-LV" w:eastAsia="zxx" w:bidi="zxx"/>
        </w:rPr>
        <w:t>24</w:t>
      </w:r>
      <w:r>
        <w:rPr>
          <w:szCs w:val="22"/>
          <w:lang w:val="lv-LV"/>
        </w:rPr>
        <w:t>/10</w:t>
      </w:r>
    </w:p>
    <w:p>
      <w:pPr>
        <w:pStyle w:val="Tv213limenis2"/>
        <w:spacing w:before="0" w:after="0"/>
        <w:jc w:val="center"/>
        <w:rPr>
          <w:rFonts w:ascii="Times New Roman" w:hAnsi="Times New Roman" w:cs="Times New Roman"/>
          <w:b/>
          <w:bCs/>
          <w:sz w:val="28"/>
          <w:szCs w:val="22"/>
          <w:lang w:val="lv-LV" w:eastAsia="lv-LV"/>
        </w:rPr>
      </w:pPr>
      <w:r>
        <w:rPr>
          <w:rFonts w:cs="Times New Roman" w:ascii="Times New Roman" w:hAnsi="Times New Roman"/>
          <w:b/>
          <w:bCs/>
          <w:sz w:val="28"/>
          <w:szCs w:val="22"/>
          <w:lang w:val="lv-LV" w:eastAsia="lv-LV"/>
        </w:rPr>
        <mc:AlternateContent>
          <mc:Choice Requires="wps">
            <w:drawing>
              <wp:anchor behindDoc="0" distT="0" distB="0" distL="0" distR="0" simplePos="0" locked="0" layoutInCell="0" allowOverlap="1" relativeHeight="6">
                <wp:simplePos x="0" y="0"/>
                <wp:positionH relativeFrom="column">
                  <wp:posOffset>0</wp:posOffset>
                </wp:positionH>
                <wp:positionV relativeFrom="paragraph">
                  <wp:posOffset>253365</wp:posOffset>
                </wp:positionV>
                <wp:extent cx="6305550" cy="9525"/>
                <wp:effectExtent l="0" t="0" r="0" b="0"/>
                <wp:wrapNone/>
                <wp:docPr id="5" name="Image5"/>
                <a:graphic xmlns:a="http://schemas.openxmlformats.org/drawingml/2006/main">
                  <a:graphicData uri="http://schemas.microsoft.com/office/word/2010/wordprocessingShape">
                    <wps:wsp>
                      <wps:cNvSpPr/>
                      <wps:spPr>
                        <a:xfrm>
                          <a:off x="0" y="0"/>
                          <a:ext cx="6305400" cy="9360"/>
                        </a:xfrm>
                        <a:prstGeom prst="line">
                          <a:avLst/>
                        </a:prstGeom>
                        <a:ln w="9360">
                          <a:noFill/>
                        </a:ln>
                      </wps:spPr>
                      <wps:style>
                        <a:lnRef idx="0"/>
                        <a:fillRef idx="0"/>
                        <a:effectRef idx="0"/>
                        <a:fontRef idx="minor"/>
                      </wps:style>
                      <wps:bodyPr/>
                    </wps:wsp>
                  </a:graphicData>
                </a:graphic>
              </wp:anchor>
            </w:drawing>
          </mc:Choice>
          <mc:Fallback>
            <w:pict>
              <v:line id="shape_0" from="0pt,19.95pt" to="496.45pt,20.65pt" ID="Image5" stroked="f" o:allowincell="f" style="position:absolute">
                <v:stroke color="#3465a4" weight="9360" joinstyle="round" endcap="flat"/>
                <v:fill o:detectmouseclick="t" on="false"/>
                <w10:wrap type="none"/>
              </v:line>
            </w:pict>
          </mc:Fallback>
        </mc:AlternateContent>
      </w:r>
    </w:p>
    <w:p>
      <w:pPr>
        <w:pStyle w:val="Tv213limenis2"/>
        <w:spacing w:before="0" w:after="0"/>
        <w:jc w:val="center"/>
        <w:rPr/>
      </w:pPr>
      <w:r>
        <w:rPr>
          <w:rFonts w:cs="Times New Roman" w:ascii="Times New Roman" w:hAnsi="Times New Roman"/>
          <w:b/>
          <w:bCs/>
          <w:sz w:val="28"/>
          <w:lang w:val="lv-LV"/>
        </w:rPr>
        <w:t>FINANŠU PIEDĀVĀJUMS</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rPr/>
            </w:pPr>
            <w:r>
              <w:rPr/>
              <w:t>&lt;Vieta&gt;</w:t>
            </w:r>
          </w:p>
        </w:tc>
        <w:tc>
          <w:tcPr>
            <w:tcW w:w="4960" w:type="dxa"/>
            <w:tcBorders/>
            <w:shd w:fill="auto" w:val="clear"/>
          </w:tcPr>
          <w:p>
            <w:pPr>
              <w:pStyle w:val="TableContents"/>
              <w:widowControl w:val="false"/>
              <w:jc w:val="right"/>
              <w:rPr/>
            </w:pPr>
            <w:r>
              <w:rPr/>
              <w:t>&lt;Datums&gt;</w:t>
            </w:r>
          </w:p>
        </w:tc>
      </w:tr>
    </w:tbl>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Normal"/>
        <w:keepLines/>
        <w:numPr>
          <w:ilvl w:val="0"/>
          <w:numId w:val="5"/>
        </w:numPr>
        <w:jc w:val="both"/>
        <w:rPr/>
      </w:pPr>
      <w:r>
        <w:rPr>
          <w:lang w:val="lv-LV"/>
        </w:rPr>
        <w:t>Līgumcenā (bez PVN) tiek iekļautas visas ar iepirkuma priekšmetu saistītās izmaksas saskaņā ar tehnisko specifikāciju un tehniskās specifikācijas piedāvājumu un to piegādāšanu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Normal"/>
        <w:keepLines/>
        <w:numPr>
          <w:ilvl w:val="0"/>
          <w:numId w:val="5"/>
        </w:numPr>
        <w:jc w:val="both"/>
        <w:rPr/>
      </w:pPr>
      <w:r>
        <w:rPr>
          <w:lang w:val="lv-LV"/>
        </w:rPr>
        <w:t>Līgumcenu norāda ar 2 (divām) zīmēm aiz komata.</w:t>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tbl>
      <w:tblPr>
        <w:tblW w:w="10040" w:type="dxa"/>
        <w:jc w:val="left"/>
        <w:tblInd w:w="13" w:type="dxa"/>
        <w:tblLayout w:type="fixed"/>
        <w:tblCellMar>
          <w:top w:w="0" w:type="dxa"/>
          <w:left w:w="8" w:type="dxa"/>
          <w:bottom w:w="0" w:type="dxa"/>
          <w:right w:w="108" w:type="dxa"/>
        </w:tblCellMar>
        <w:tblLook w:firstRow="1" w:noVBand="1" w:lastRow="0" w:firstColumn="1" w:lastColumn="0" w:noHBand="0" w:val="04a0"/>
      </w:tblPr>
      <w:tblGrid>
        <w:gridCol w:w="4744"/>
        <w:gridCol w:w="5295"/>
      </w:tblGrid>
      <w:tr>
        <w:trPr/>
        <w:tc>
          <w:tcPr>
            <w:tcW w:w="4744" w:type="dxa"/>
            <w:tcBorders>
              <w:top w:val="single" w:sz="4" w:space="0" w:color="000001"/>
              <w:left w:val="single" w:sz="4" w:space="0" w:color="000001"/>
              <w:bottom w:val="single" w:sz="4" w:space="0" w:color="000001"/>
            </w:tcBorders>
            <w:shd w:fill="auto" w:val="clear"/>
            <w:vAlign w:val="center"/>
          </w:tcPr>
          <w:p>
            <w:pPr>
              <w:pStyle w:val="Tv213limenis2"/>
              <w:widowControl w:val="false"/>
              <w:spacing w:before="0" w:after="0"/>
              <w:jc w:val="center"/>
              <w:rPr/>
            </w:pPr>
            <w:r>
              <w:rPr>
                <w:rFonts w:cs="Times New Roman" w:ascii="Times New Roman" w:hAnsi="Times New Roman"/>
                <w:b/>
                <w:bCs/>
                <w:lang w:val="lv-LV"/>
              </w:rPr>
              <w:t>Pakalpojums</w:t>
            </w:r>
          </w:p>
        </w:tc>
        <w:tc>
          <w:tcPr>
            <w:tcW w:w="5295" w:type="dxa"/>
            <w:tcBorders>
              <w:top w:val="single" w:sz="4" w:space="0" w:color="000001"/>
              <w:left w:val="single" w:sz="4" w:space="0" w:color="000001"/>
              <w:bottom w:val="single" w:sz="4" w:space="0" w:color="000001"/>
              <w:right w:val="single" w:sz="4" w:space="0" w:color="000001"/>
            </w:tcBorders>
            <w:shd w:fill="auto" w:val="clear"/>
            <w:vAlign w:val="center"/>
          </w:tcPr>
          <w:p>
            <w:pPr>
              <w:pStyle w:val="Tv213limenis2"/>
              <w:widowControl w:val="false"/>
              <w:spacing w:before="0" w:after="0"/>
              <w:jc w:val="center"/>
              <w:rPr/>
            </w:pPr>
            <w:r>
              <w:rPr>
                <w:rFonts w:cs="Times New Roman" w:ascii="Times New Roman" w:hAnsi="Times New Roman"/>
                <w:b/>
                <w:bCs/>
                <w:lang w:val="lv-LV"/>
              </w:rPr>
              <w:t>Līgumcena bez PVN, EUR</w:t>
            </w:r>
          </w:p>
        </w:tc>
      </w:tr>
      <w:tr>
        <w:trPr>
          <w:trHeight w:val="884" w:hRule="atLeast"/>
        </w:trPr>
        <w:tc>
          <w:tcPr>
            <w:tcW w:w="4744" w:type="dxa"/>
            <w:tcBorders>
              <w:top w:val="single" w:sz="4" w:space="0" w:color="000001"/>
              <w:left w:val="single" w:sz="4" w:space="0" w:color="000001"/>
              <w:bottom w:val="single" w:sz="4" w:space="0" w:color="000001"/>
            </w:tcBorders>
            <w:shd w:fill="auto" w:val="clear"/>
          </w:tcPr>
          <w:p>
            <w:pPr>
              <w:pStyle w:val="Normal"/>
              <w:widowControl w:val="false"/>
              <w:jc w:val="center"/>
              <w:rPr/>
            </w:pPr>
            <w:r>
              <w:rPr>
                <w:lang w:val="lv-LV"/>
              </w:rPr>
              <w:t>Piedāvātā cena</w:t>
            </w:r>
            <w:r>
              <w:rPr>
                <w:vertAlign w:val="superscript"/>
                <w:lang w:val="lv-LV"/>
              </w:rPr>
              <w:t xml:space="preserve"> </w:t>
            </w:r>
            <w:r>
              <w:rPr>
                <w:lang w:val="lv-LV"/>
              </w:rPr>
              <w:t xml:space="preserve"> </w:t>
            </w:r>
            <w:r>
              <w:rPr>
                <w:b/>
                <w:bCs/>
                <w:lang w:val="lv-LV"/>
              </w:rPr>
              <w:t>vienam</w:t>
            </w:r>
            <w:r>
              <w:rPr>
                <w:lang w:val="lv-LV"/>
              </w:rPr>
              <w:t xml:space="preserve"> transportlīdzeklim pēc tehniskās specifikācijas prasībām un piedāvājuma</w:t>
            </w:r>
          </w:p>
        </w:tc>
        <w:tc>
          <w:tcPr>
            <w:tcW w:w="5295" w:type="dxa"/>
            <w:tcBorders>
              <w:top w:val="single" w:sz="4" w:space="0" w:color="000001"/>
              <w:left w:val="single" w:sz="4" w:space="0" w:color="000001"/>
              <w:bottom w:val="single" w:sz="4" w:space="0" w:color="000001"/>
              <w:right w:val="single" w:sz="4" w:space="0" w:color="000001"/>
            </w:tcBorders>
            <w:shd w:fill="auto" w:val="clear"/>
          </w:tcPr>
          <w:p>
            <w:pPr>
              <w:pStyle w:val="Tv213limenis2"/>
              <w:widowControl w:val="false"/>
              <w:snapToGrid w:val="false"/>
              <w:spacing w:before="0" w:after="0"/>
              <w:jc w:val="center"/>
              <w:rPr>
                <w:rFonts w:ascii="Times New Roman" w:hAnsi="Times New Roman" w:cs="Times New Roman"/>
                <w:lang w:val="lv-LV"/>
              </w:rPr>
            </w:pPr>
            <w:r>
              <w:rPr>
                <w:rFonts w:cs="Times New Roman" w:ascii="Times New Roman" w:hAnsi="Times New Roman"/>
                <w:lang w:val="lv-LV"/>
              </w:rPr>
            </w:r>
          </w:p>
        </w:tc>
      </w:tr>
    </w:tbl>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p>
      <w:pPr>
        <w:pStyle w:val="BodyTextIndent2"/>
        <w:rPr/>
      </w:pPr>
      <w:r>
        <w:rPr/>
        <w:t>Papildus izmaksas, kas nav iekļautas un norādītas finanšu piedāvājumā, netiks ņemtas vērā, noslēdzot iepirkuma līgumu.</w:t>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jc w:val="right"/>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rPr>
          <w:b/>
          <w:bCs/>
          <w:sz w:val="28"/>
          <w:lang w:val="lv-LV"/>
        </w:rPr>
      </w:pPr>
      <w:r>
        <w:rPr>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pPr>
      <w:r>
        <w:rPr>
          <w:rFonts w:cs="Times New Roman" w:ascii="Times New Roman" w:hAnsi="Times New Roman"/>
          <w:lang w:val="lv-LV"/>
        </w:rPr>
        <w:t>Z.v.</w:t>
      </w:r>
    </w:p>
    <w:p>
      <w:pPr>
        <w:pStyle w:val="Normal"/>
        <w:rPr>
          <w:lang w:val="lv-LV"/>
        </w:rPr>
      </w:pPr>
      <w:r>
        <w:rPr>
          <w:lang w:val="lv-LV"/>
        </w:rPr>
      </w:r>
    </w:p>
    <w:p>
      <w:pPr>
        <w:pStyle w:val="Normal"/>
        <w:rPr/>
      </w:pPr>
      <w:r>
        <w:rPr/>
      </w:r>
      <w:r>
        <w:br w:type="page"/>
      </w:r>
    </w:p>
    <w:p>
      <w:pPr>
        <w:pStyle w:val="Tv213limenis2"/>
        <w:spacing w:before="0" w:after="0"/>
        <w:jc w:val="right"/>
        <w:rPr/>
      </w:pPr>
      <w:r>
        <w:rPr>
          <w:rFonts w:cs="Times New Roman" w:ascii="Times New Roman" w:hAnsi="Times New Roman"/>
          <w:b/>
          <w:bCs/>
          <w:lang w:val="lv-LV"/>
        </w:rPr>
        <w:t>3.pielikums</w:t>
      </w:r>
    </w:p>
    <w:p>
      <w:pPr>
        <w:pStyle w:val="Normal"/>
        <w:jc w:val="right"/>
        <w:rPr/>
      </w:pPr>
      <w:r>
        <w:rPr>
          <w:lang w:val="lv-LV"/>
        </w:rPr>
        <w:t>„</w:t>
      </w:r>
      <w:r>
        <w:rPr>
          <w:lang w:val="lv-LV"/>
        </w:rPr>
        <w:t>T</w:t>
      </w:r>
      <w:bookmarkStart w:id="10" w:name="__DdeLink__1173_2792384715_Copy_1"/>
      <w:r>
        <w:rPr>
          <w:iCs/>
          <w:sz w:val="24"/>
          <w:szCs w:val="24"/>
          <w:lang w:val="lv-LV"/>
        </w:rPr>
        <w:t>ransportlīdzekļa iegāde</w:t>
      </w:r>
      <w:bookmarkEnd w:id="10"/>
      <w:r>
        <w:rPr>
          <w:szCs w:val="22"/>
          <w:lang w:val="lv-LV"/>
        </w:rPr>
        <w:t>”</w:t>
      </w:r>
    </w:p>
    <w:p>
      <w:pPr>
        <w:pStyle w:val="Normal"/>
        <w:jc w:val="right"/>
        <w:rPr/>
      </w:pPr>
      <w:r>
        <w:rPr>
          <w:lang w:val="lv-LV"/>
        </w:rPr>
        <w:t>Iepirkuma identifikācijas Nr.</w:t>
      </w:r>
      <w:r>
        <w:rPr>
          <w:b/>
          <w:lang w:val="lv-LV"/>
        </w:rPr>
        <w:t xml:space="preserve"> </w:t>
      </w:r>
      <w:r>
        <w:rPr>
          <w:szCs w:val="22"/>
          <w:lang w:val="lv-LV"/>
        </w:rPr>
        <w:t>DE 20</w:t>
      </w:r>
      <w:r>
        <w:rPr>
          <w:rFonts w:eastAsia="Andale Sans UI" w:cs="Tahoma"/>
          <w:color w:val="00000A"/>
          <w:kern w:val="2"/>
          <w:sz w:val="24"/>
          <w:szCs w:val="22"/>
          <w:lang w:val="lv-LV" w:eastAsia="zxx" w:bidi="zxx"/>
        </w:rPr>
        <w:t>24</w:t>
      </w:r>
      <w:r>
        <w:rPr>
          <w:szCs w:val="22"/>
          <w:lang w:val="lv-LV"/>
        </w:rPr>
        <w:t>/10</w:t>
      </w:r>
    </w:p>
    <w:p>
      <w:pPr>
        <w:pStyle w:val="Tv213limenis2"/>
        <w:spacing w:before="0" w:after="0"/>
        <w:jc w:val="center"/>
        <w:rPr>
          <w:rFonts w:ascii="Times New Roman" w:hAnsi="Times New Roman" w:cs="Times New Roman"/>
          <w:b/>
          <w:bCs/>
          <w:sz w:val="28"/>
          <w:szCs w:val="22"/>
          <w:lang w:val="lv-LV" w:eastAsia="lv-LV"/>
        </w:rPr>
      </w:pPr>
      <w:r>
        <w:rPr>
          <w:rFonts w:cs="Times New Roman" w:ascii="Times New Roman" w:hAnsi="Times New Roman"/>
          <w:b/>
          <w:bCs/>
          <w:sz w:val="28"/>
          <w:szCs w:val="22"/>
          <w:lang w:val="lv-LV" w:eastAsia="lv-LV"/>
        </w:rPr>
      </w:r>
    </w:p>
    <w:p>
      <w:pPr>
        <w:pStyle w:val="Tv213limenis2"/>
        <w:spacing w:before="0" w:after="0"/>
        <w:jc w:val="center"/>
        <w:rPr>
          <w:highlight w:val="none"/>
          <w:shd w:fill="auto" w:val="clear"/>
        </w:rPr>
      </w:pPr>
      <w:r>
        <w:rPr>
          <w:rFonts w:cs="Times New Roman" w:ascii="Times New Roman" w:hAnsi="Times New Roman"/>
          <w:b/>
          <w:bCs/>
          <w:sz w:val="28"/>
          <w:shd w:fill="auto" w:val="clear"/>
          <w:lang w:val="lv-LV"/>
        </w:rPr>
        <w:t>LĪGUMA PROJEKTS</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Normal"/>
        <w:jc w:val="both"/>
        <w:rPr>
          <w:sz w:val="23"/>
          <w:szCs w:val="23"/>
        </w:rPr>
      </w:pPr>
      <w:r>
        <w:rPr>
          <w:b/>
          <w:sz w:val="23"/>
          <w:szCs w:val="23"/>
        </w:rPr>
        <w:t>SIA “Dobeles enerģija”</w:t>
      </w:r>
      <w:r>
        <w:rPr>
          <w:bCs/>
          <w:sz w:val="23"/>
          <w:szCs w:val="23"/>
        </w:rPr>
        <w:t>,</w:t>
      </w:r>
      <w:r>
        <w:rPr>
          <w:sz w:val="23"/>
          <w:szCs w:val="23"/>
        </w:rPr>
        <w:t xml:space="preserve"> reģ.Nr.</w:t>
      </w:r>
      <w:r>
        <w:rPr>
          <w:b/>
          <w:bCs/>
          <w:sz w:val="23"/>
          <w:szCs w:val="23"/>
        </w:rPr>
        <w:t>45103002039</w:t>
      </w:r>
      <w:r>
        <w:rPr>
          <w:sz w:val="23"/>
          <w:szCs w:val="23"/>
        </w:rPr>
        <w:t>, tās ________ personā, kurš darbojas uz staūtu pamata, turpmāk - “Pasūtītājs”, no vienas puses, un</w:t>
      </w:r>
    </w:p>
    <w:p>
      <w:pPr>
        <w:pStyle w:val="Normal"/>
        <w:jc w:val="both"/>
        <w:rPr>
          <w:sz w:val="23"/>
          <w:szCs w:val="23"/>
        </w:rPr>
      </w:pPr>
      <w:r>
        <w:rPr>
          <w:b/>
          <w:bCs/>
          <w:sz w:val="23"/>
          <w:szCs w:val="23"/>
        </w:rPr>
        <w:t>____________</w:t>
      </w:r>
      <w:r>
        <w:rPr>
          <w:sz w:val="23"/>
          <w:szCs w:val="23"/>
        </w:rPr>
        <w:t>,</w:t>
      </w:r>
      <w:r>
        <w:rPr>
          <w:b/>
          <w:bCs/>
          <w:sz w:val="23"/>
          <w:szCs w:val="23"/>
        </w:rPr>
        <w:t xml:space="preserve"> </w:t>
      </w:r>
      <w:r>
        <w:rPr>
          <w:sz w:val="23"/>
          <w:szCs w:val="23"/>
        </w:rPr>
        <w:t>reģ.Nr.___________, tās _________</w:t>
      </w:r>
      <w:r>
        <w:rPr>
          <w:color w:val="000000"/>
          <w:sz w:val="23"/>
          <w:szCs w:val="23"/>
        </w:rPr>
        <w:t xml:space="preserve"> personā, kur_ darbojas uz _______ pamata</w:t>
      </w:r>
      <w:r>
        <w:rPr>
          <w:sz w:val="23"/>
          <w:szCs w:val="23"/>
        </w:rPr>
        <w:t>, turpmāk - “Piegādātājs”, no otras puses,</w:t>
      </w:r>
    </w:p>
    <w:p>
      <w:pPr>
        <w:pStyle w:val="Normal"/>
        <w:jc w:val="both"/>
        <w:rPr>
          <w:sz w:val="23"/>
          <w:szCs w:val="23"/>
        </w:rPr>
      </w:pPr>
      <w:r>
        <w:rPr>
          <w:sz w:val="23"/>
          <w:szCs w:val="23"/>
        </w:rPr>
        <w:t>turpmāk abas kopā sauktas “Puses”, atsevišķi - “Puse”, noslēdz šo līgumu, turpmāk - “Līgums”, par sekojošo:</w:t>
      </w:r>
    </w:p>
    <w:p>
      <w:pPr>
        <w:pStyle w:val="Normal"/>
        <w:jc w:val="both"/>
        <w:rPr>
          <w:sz w:val="23"/>
          <w:szCs w:val="23"/>
        </w:rPr>
      </w:pPr>
      <w:r>
        <w:rPr>
          <w:sz w:val="23"/>
          <w:szCs w:val="23"/>
        </w:rPr>
      </w:r>
    </w:p>
    <w:p>
      <w:pPr>
        <w:pStyle w:val="Normal"/>
        <w:jc w:val="both"/>
        <w:rPr>
          <w:sz w:val="23"/>
          <w:szCs w:val="23"/>
        </w:rPr>
      </w:pPr>
      <w:r>
        <w:rPr>
          <w:sz w:val="23"/>
          <w:szCs w:val="23"/>
        </w:rPr>
      </w:r>
    </w:p>
    <w:p>
      <w:pPr>
        <w:pStyle w:val="Normal"/>
        <w:jc w:val="center"/>
        <w:rPr>
          <w:b/>
          <w:sz w:val="23"/>
          <w:szCs w:val="23"/>
        </w:rPr>
      </w:pPr>
      <w:r>
        <w:rPr>
          <w:b/>
          <w:sz w:val="23"/>
          <w:szCs w:val="23"/>
        </w:rPr>
        <w:t xml:space="preserve">I Līguma priekšmets </w:t>
      </w:r>
    </w:p>
    <w:p>
      <w:pPr>
        <w:pStyle w:val="Normal"/>
        <w:widowControl w:val="false"/>
        <w:numPr>
          <w:ilvl w:val="1"/>
          <w:numId w:val="8"/>
        </w:numPr>
        <w:ind w:left="426" w:hanging="426"/>
        <w:jc w:val="both"/>
        <w:rPr>
          <w:sz w:val="23"/>
          <w:szCs w:val="23"/>
          <w:lang w:val="fi-FI" w:eastAsia="fi-FI"/>
        </w:rPr>
      </w:pPr>
      <w:r>
        <w:rPr>
          <w:sz w:val="23"/>
          <w:szCs w:val="23"/>
          <w:lang w:val="fi-FI" w:eastAsia="fi-FI"/>
        </w:rPr>
        <w:t>Līguma priekšmets – transportlīdzeklis (turpmāk – Transportlīdeklis), kuru specifikācija pievienota Līguma Pielikumā Nr.1:</w:t>
      </w:r>
    </w:p>
    <w:p>
      <w:pPr>
        <w:pStyle w:val="Normal"/>
        <w:widowControl w:val="false"/>
        <w:numPr>
          <w:ilvl w:val="2"/>
          <w:numId w:val="8"/>
        </w:numPr>
        <w:jc w:val="both"/>
        <w:rPr>
          <w:sz w:val="23"/>
          <w:szCs w:val="23"/>
          <w:lang w:val="fi-FI" w:eastAsia="fi-FI"/>
        </w:rPr>
      </w:pPr>
      <w:r>
        <w:rPr>
          <w:sz w:val="23"/>
          <w:szCs w:val="23"/>
          <w:lang w:val="fi-FI" w:eastAsia="fi-FI"/>
        </w:rPr>
        <w:t>t</w:t>
      </w:r>
      <w:r>
        <w:rPr>
          <w:sz w:val="23"/>
          <w:szCs w:val="23"/>
          <w:shd w:fill="auto" w:val="clear"/>
          <w:lang w:val="fi-FI" w:eastAsia="fi-FI"/>
        </w:rPr>
        <w:t>ransportlīdzekļa pieņemšana un nodošana notiek Piegādātāja autocentrā adresē:________________________________________________________.;</w:t>
      </w:r>
    </w:p>
    <w:p>
      <w:pPr>
        <w:pStyle w:val="Normal"/>
        <w:widowControl w:val="false"/>
        <w:numPr>
          <w:ilvl w:val="2"/>
          <w:numId w:val="8"/>
        </w:numPr>
        <w:jc w:val="both"/>
        <w:rPr>
          <w:sz w:val="23"/>
          <w:szCs w:val="23"/>
          <w:lang w:val="fi-FI" w:eastAsia="fi-FI"/>
        </w:rPr>
      </w:pPr>
      <w:r>
        <w:rPr>
          <w:sz w:val="23"/>
          <w:szCs w:val="23"/>
          <w:lang w:val="fi-FI" w:eastAsia="fi-FI"/>
        </w:rPr>
        <w:t>reģistrēšana uz Pasūtītāja vārda VAS ”Ceļu satiksmes drošības direkcija” (turpmāk – CSDD), kā arī obligātās civiltiesiskās apdrošināšanas polises iegāde uz 1 (vienu) gadu, skaitot no Transportlīdekļa reģistrēšanas uz Pasūtītāja vārda CSDD dienas;</w:t>
      </w:r>
    </w:p>
    <w:p>
      <w:pPr>
        <w:pStyle w:val="Normal"/>
        <w:widowControl w:val="false"/>
        <w:numPr>
          <w:ilvl w:val="1"/>
          <w:numId w:val="9"/>
        </w:numPr>
        <w:ind w:left="567" w:hanging="567"/>
        <w:jc w:val="both"/>
        <w:rPr>
          <w:sz w:val="23"/>
          <w:szCs w:val="23"/>
          <w:lang w:val="fi-FI" w:eastAsia="fi-FI"/>
        </w:rPr>
      </w:pPr>
      <w:r>
        <w:rPr>
          <w:sz w:val="23"/>
          <w:szCs w:val="23"/>
          <w:lang w:val="fi-FI" w:eastAsia="fi-FI"/>
        </w:rPr>
        <w:t xml:space="preserve">Piegādātajs apņemas veikt Piegādi Līgumā noteiktajā kārtībā. </w:t>
      </w:r>
    </w:p>
    <w:p>
      <w:pPr>
        <w:pStyle w:val="Normal"/>
        <w:ind w:left="720" w:firstLine="720"/>
        <w:jc w:val="both"/>
        <w:rPr>
          <w:sz w:val="23"/>
          <w:szCs w:val="23"/>
        </w:rPr>
      </w:pPr>
      <w:r>
        <w:rPr>
          <w:sz w:val="23"/>
          <w:szCs w:val="23"/>
        </w:rPr>
      </w:r>
    </w:p>
    <w:p>
      <w:pPr>
        <w:pStyle w:val="Normal"/>
        <w:jc w:val="center"/>
        <w:rPr>
          <w:b/>
          <w:sz w:val="23"/>
          <w:szCs w:val="23"/>
        </w:rPr>
      </w:pPr>
      <w:r>
        <w:rPr>
          <w:b/>
          <w:sz w:val="23"/>
          <w:szCs w:val="23"/>
        </w:rPr>
        <w:t xml:space="preserve">III </w:t>
      </w:r>
      <w:r>
        <w:rPr>
          <w:b/>
          <w:sz w:val="23"/>
          <w:szCs w:val="23"/>
          <w:lang w:val="fi-FI" w:eastAsia="fi-FI"/>
        </w:rPr>
        <w:t>Līguma izpildes kārtība</w:t>
      </w:r>
    </w:p>
    <w:p>
      <w:pPr>
        <w:pStyle w:val="Normal"/>
        <w:widowControl w:val="false"/>
        <w:numPr>
          <w:ilvl w:val="1"/>
          <w:numId w:val="10"/>
        </w:numPr>
        <w:ind w:left="567" w:hanging="567"/>
        <w:jc w:val="both"/>
        <w:rPr>
          <w:sz w:val="23"/>
          <w:szCs w:val="23"/>
          <w:lang w:val="fi-FI" w:eastAsia="fi-FI"/>
        </w:rPr>
      </w:pPr>
      <w:r>
        <w:rPr>
          <w:sz w:val="23"/>
          <w:szCs w:val="23"/>
          <w:lang w:val="fi-FI" w:eastAsia="fi-FI"/>
        </w:rPr>
        <w:t>Piegādātājs apņemas sniegt Pasūtītājam pilnu informāciju par Piegādes gaitu un izpildīt Pasūtītāja Līgumam un saistošajiem normatīvajiem aktiem atbilstošus norādījumus Līguma izpildes laikā.</w:t>
      </w:r>
    </w:p>
    <w:p>
      <w:pPr>
        <w:pStyle w:val="Normal"/>
        <w:widowControl w:val="false"/>
        <w:numPr>
          <w:ilvl w:val="1"/>
          <w:numId w:val="10"/>
        </w:numPr>
        <w:ind w:left="567" w:hanging="567"/>
        <w:jc w:val="both"/>
        <w:rPr>
          <w:sz w:val="23"/>
          <w:szCs w:val="23"/>
          <w:lang w:val="fi-FI" w:eastAsia="fi-FI"/>
        </w:rPr>
      </w:pPr>
      <w:r>
        <w:rPr>
          <w:sz w:val="23"/>
          <w:szCs w:val="23"/>
          <w:lang w:val="fi-FI" w:eastAsia="fi-FI"/>
        </w:rPr>
        <w:t>Piegādātājs</w:t>
      </w:r>
      <w:r>
        <w:rPr>
          <w:sz w:val="23"/>
          <w:szCs w:val="23"/>
        </w:rPr>
        <w:t xml:space="preserve"> apņemas Piegādi veikt profesionāli, kā krietns un rūpīgs saimnieks, nenodarot kaitējumu Pasūtītāja vai trešo personu mantai.</w:t>
      </w:r>
    </w:p>
    <w:p>
      <w:pPr>
        <w:pStyle w:val="Normal"/>
        <w:widowControl w:val="false"/>
        <w:numPr>
          <w:ilvl w:val="1"/>
          <w:numId w:val="10"/>
        </w:numPr>
        <w:ind w:left="567" w:hanging="567"/>
        <w:jc w:val="both"/>
        <w:rPr>
          <w:sz w:val="23"/>
          <w:szCs w:val="23"/>
          <w:lang w:val="fi-FI" w:eastAsia="fi-FI"/>
        </w:rPr>
      </w:pPr>
      <w:r>
        <w:rPr>
          <w:sz w:val="23"/>
          <w:szCs w:val="23"/>
          <w:lang w:val="fi-FI" w:eastAsia="fi-FI"/>
        </w:rPr>
        <w:t>Piegādātājs</w:t>
      </w:r>
      <w:r>
        <w:rPr>
          <w:sz w:val="23"/>
          <w:szCs w:val="23"/>
        </w:rPr>
        <w:t xml:space="preserve"> par </w:t>
      </w:r>
      <w:r>
        <w:rPr>
          <w:sz w:val="23"/>
          <w:szCs w:val="23"/>
          <w:lang w:val="fi-FI" w:eastAsia="fi-FI"/>
        </w:rPr>
        <w:t>Transportlīdekļa</w:t>
      </w:r>
      <w:r>
        <w:rPr>
          <w:sz w:val="23"/>
          <w:szCs w:val="23"/>
        </w:rPr>
        <w:t xml:space="preserve"> piegādes laiku un vietu informē Pasūtītāja pilnvaroto personu vismaz 5 (piecas) kalendāra dienas iepriekš. </w:t>
      </w:r>
    </w:p>
    <w:p>
      <w:pPr>
        <w:pStyle w:val="Normal"/>
        <w:widowControl w:val="false"/>
        <w:numPr>
          <w:ilvl w:val="1"/>
          <w:numId w:val="10"/>
        </w:numPr>
        <w:ind w:left="567" w:hanging="567"/>
        <w:jc w:val="both"/>
        <w:rPr>
          <w:sz w:val="23"/>
          <w:szCs w:val="23"/>
          <w:lang w:val="fi-FI" w:eastAsia="fi-FI"/>
        </w:rPr>
      </w:pPr>
      <w:r>
        <w:rPr>
          <w:sz w:val="23"/>
          <w:szCs w:val="23"/>
          <w:lang w:val="fi-FI" w:eastAsia="fi-FI"/>
        </w:rPr>
        <w:t>Piegādātājs</w:t>
      </w:r>
      <w:r>
        <w:rPr>
          <w:sz w:val="23"/>
          <w:szCs w:val="23"/>
        </w:rPr>
        <w:t xml:space="preserve"> Transportlīdzekli piegādā pilnā komplektācijā. </w:t>
      </w:r>
    </w:p>
    <w:p>
      <w:pPr>
        <w:pStyle w:val="Normal"/>
        <w:widowControl w:val="false"/>
        <w:numPr>
          <w:ilvl w:val="1"/>
          <w:numId w:val="10"/>
        </w:numPr>
        <w:ind w:left="567" w:hanging="567"/>
        <w:jc w:val="both"/>
        <w:rPr>
          <w:sz w:val="23"/>
          <w:szCs w:val="23"/>
          <w:lang w:val="fi-FI" w:eastAsia="fi-FI"/>
        </w:rPr>
      </w:pPr>
      <w:r>
        <w:rPr>
          <w:sz w:val="23"/>
          <w:szCs w:val="23"/>
          <w:lang w:val="fi-FI" w:eastAsia="fi-FI"/>
        </w:rPr>
        <w:t>Piegādātājs</w:t>
      </w:r>
      <w:r>
        <w:rPr>
          <w:sz w:val="23"/>
          <w:szCs w:val="23"/>
        </w:rPr>
        <w:t xml:space="preserve"> garantē, ka </w:t>
      </w:r>
      <w:r>
        <w:rPr>
          <w:sz w:val="23"/>
          <w:szCs w:val="23"/>
          <w:lang w:eastAsia="fi-FI"/>
        </w:rPr>
        <w:t>Transportlīdzklis</w:t>
      </w:r>
      <w:r>
        <w:rPr>
          <w:sz w:val="23"/>
          <w:szCs w:val="23"/>
        </w:rPr>
        <w:t xml:space="preserve"> tās Piegādes brīdī piederēs vienīgi </w:t>
      </w:r>
      <w:r>
        <w:rPr>
          <w:sz w:val="23"/>
          <w:szCs w:val="23"/>
          <w:lang w:val="fi-FI" w:eastAsia="fi-FI"/>
        </w:rPr>
        <w:t>Piegādātājam</w:t>
      </w:r>
      <w:r>
        <w:rPr>
          <w:sz w:val="23"/>
          <w:szCs w:val="23"/>
        </w:rPr>
        <w:t>, nebūs jebkādā veidā atsavināta, ieķīlāta, apgrūtināta, par Transportlīdzeli nebūs reģistrēts aizliegums un nepastāvēs strīds.</w:t>
      </w:r>
    </w:p>
    <w:p>
      <w:pPr>
        <w:pStyle w:val="Normal"/>
        <w:widowControl w:val="false"/>
        <w:numPr>
          <w:ilvl w:val="1"/>
          <w:numId w:val="10"/>
        </w:numPr>
        <w:ind w:left="567" w:hanging="567"/>
        <w:jc w:val="both"/>
        <w:rPr>
          <w:sz w:val="23"/>
          <w:szCs w:val="23"/>
          <w:lang w:val="fi-FI" w:eastAsia="fi-FI"/>
        </w:rPr>
      </w:pPr>
      <w:r>
        <w:rPr>
          <w:sz w:val="23"/>
          <w:szCs w:val="23"/>
          <w:lang w:val="fi-FI" w:eastAsia="fi-FI"/>
        </w:rPr>
        <w:t>Piegādātājs</w:t>
      </w:r>
      <w:r>
        <w:rPr>
          <w:sz w:val="23"/>
          <w:szCs w:val="23"/>
        </w:rPr>
        <w:t xml:space="preserve"> apliecina, ka </w:t>
      </w:r>
      <w:r>
        <w:rPr>
          <w:sz w:val="23"/>
          <w:szCs w:val="23"/>
          <w:lang w:eastAsia="fi-FI"/>
        </w:rPr>
        <w:t>Transportlīdzeklis</w:t>
      </w:r>
      <w:r>
        <w:rPr>
          <w:sz w:val="23"/>
          <w:szCs w:val="23"/>
        </w:rPr>
        <w:t xml:space="preserve"> tās piegādes brīdī būs jauna, nelietota un līdz Piegādei Pasūtītājam tiks glabāta tai piemērotos apstākļos, ar krietna un kārtīga saimnieka rūpību.</w:t>
      </w:r>
    </w:p>
    <w:p>
      <w:pPr>
        <w:pStyle w:val="Normal"/>
        <w:widowControl w:val="false"/>
        <w:numPr>
          <w:ilvl w:val="1"/>
          <w:numId w:val="10"/>
        </w:numPr>
        <w:ind w:left="567" w:hanging="567"/>
        <w:jc w:val="both"/>
        <w:rPr>
          <w:b/>
          <w:sz w:val="23"/>
          <w:szCs w:val="23"/>
          <w:lang w:val="fi-FI" w:eastAsia="fi-FI"/>
        </w:rPr>
      </w:pPr>
      <w:r>
        <w:rPr>
          <w:sz w:val="23"/>
          <w:szCs w:val="23"/>
          <w:lang w:val="fi-FI" w:eastAsia="fi-FI"/>
        </w:rPr>
        <w:t xml:space="preserve">Pēc Transportlīdzekļa Piegādes saskaņā ar Līguma 1.1.1.punktu. Piegādātājs veic Līguma 1.1.2.punktā noteiktās saistības, kā arī iesniedz Pasūtītājam dokumentus, kas apliecina Transportlīdzekļa reģistrēšanu CSDD uz Pasūtītāja vārda, Transportlīdzekļa tehnisko dokumentāciju, servisa grāmatiņas un OCTA polises (turpmāk – Dokumenti). </w:t>
      </w:r>
    </w:p>
    <w:p>
      <w:pPr>
        <w:pStyle w:val="Normal"/>
        <w:jc w:val="both"/>
        <w:rPr>
          <w:sz w:val="23"/>
          <w:szCs w:val="23"/>
        </w:rPr>
      </w:pPr>
      <w:r>
        <w:rPr>
          <w:sz w:val="23"/>
          <w:szCs w:val="23"/>
        </w:rPr>
      </w:r>
    </w:p>
    <w:p>
      <w:pPr>
        <w:pStyle w:val="Normal"/>
        <w:widowControl w:val="false"/>
        <w:tabs>
          <w:tab w:val="clear" w:pos="706"/>
          <w:tab w:val="left" w:pos="4395" w:leader="none"/>
        </w:tabs>
        <w:jc w:val="center"/>
        <w:rPr>
          <w:highlight w:val="none"/>
          <w:shd w:fill="auto" w:val="clear"/>
        </w:rPr>
      </w:pPr>
      <w:r>
        <w:rPr>
          <w:b/>
          <w:sz w:val="23"/>
          <w:szCs w:val="23"/>
          <w:shd w:fill="auto" w:val="clear"/>
        </w:rPr>
        <w:t xml:space="preserve">IV </w:t>
      </w:r>
      <w:r>
        <w:rPr>
          <w:b/>
          <w:sz w:val="23"/>
          <w:szCs w:val="23"/>
          <w:shd w:fill="auto" w:val="clear"/>
          <w:lang w:val="fi-FI" w:eastAsia="fi-FI"/>
        </w:rPr>
        <w:t>Norēķinu kārtība</w:t>
      </w:r>
    </w:p>
    <w:p>
      <w:pPr>
        <w:pStyle w:val="Normal"/>
        <w:numPr>
          <w:ilvl w:val="1"/>
          <w:numId w:val="11"/>
        </w:numPr>
        <w:tabs>
          <w:tab w:val="clear" w:pos="706"/>
          <w:tab w:val="left" w:pos="426" w:leader="none"/>
        </w:tabs>
        <w:spacing w:before="0" w:after="0"/>
        <w:jc w:val="both"/>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Kopējā Līguma summa saskaņā ar Līguma 2.pielikumu ir ______________ EUR (_________________euro un __ centi) bez pievienotās vērtības nodokļa (turpmāk - PVN). PVN tiek aprēķināts un maksāts papildus saskaņā ar spēkā esošo nodokļa likmi.</w:t>
      </w:r>
    </w:p>
    <w:p>
      <w:pPr>
        <w:pStyle w:val="Normal"/>
        <w:numPr>
          <w:ilvl w:val="1"/>
          <w:numId w:val="11"/>
        </w:numPr>
        <w:bidi w:val="0"/>
        <w:spacing w:lineRule="auto" w:line="276" w:before="0" w:after="0"/>
        <w:ind w:left="0" w:hanging="0"/>
        <w:jc w:val="both"/>
        <w:textAlignment w:val="baseline"/>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Līgumcenā (bez PVN) tiek iekļautas visas ar Iepirkuma priekšmetu saistītās izmaksas saskaņā ar tehnisko specifikāciju un tehniskās specifikācijas piedāvājumu un to piegādāšanu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TextBody"/>
        <w:numPr>
          <w:ilvl w:val="1"/>
          <w:numId w:val="11"/>
        </w:numPr>
        <w:bidi w:val="0"/>
        <w:spacing w:lineRule="auto" w:line="276" w:before="0" w:after="0"/>
        <w:ind w:left="0" w:hanging="0"/>
        <w:jc w:val="both"/>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 xml:space="preserve"> </w:t>
      </w:r>
      <w:r>
        <w:rPr>
          <w:rFonts w:eastAsia="Andale Sans UI" w:cs="Tahoma"/>
          <w:color w:val="00000A"/>
          <w:kern w:val="2"/>
          <w:sz w:val="23"/>
          <w:szCs w:val="23"/>
          <w:lang w:bidi="zxx"/>
        </w:rPr>
        <w:t>Par transportlīdzekļa piegādes laiku tiek uzskatīta diena, kad ir abpusēji parakstīts pieņemšanas-nodošanas akts.</w:t>
      </w:r>
    </w:p>
    <w:p>
      <w:pPr>
        <w:pStyle w:val="Normal"/>
        <w:numPr>
          <w:ilvl w:val="1"/>
          <w:numId w:val="11"/>
        </w:numPr>
        <w:bidi w:val="0"/>
        <w:spacing w:lineRule="auto" w:line="276" w:before="0" w:after="0"/>
        <w:ind w:left="0" w:hanging="0"/>
        <w:jc w:val="both"/>
        <w:textAlignment w:val="baseline"/>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Par darbu apmaksas dienu tiek uzskatīta diena, kad Pasūtītājs ir pārskaitījis naudu uz Piegādātāja bankas norēķinu kontu.</w:t>
      </w:r>
    </w:p>
    <w:p>
      <w:pPr>
        <w:pStyle w:val="Normal"/>
        <w:jc w:val="center"/>
        <w:rPr>
          <w:sz w:val="23"/>
          <w:szCs w:val="23"/>
        </w:rPr>
      </w:pPr>
      <w:r>
        <w:rPr>
          <w:sz w:val="23"/>
          <w:szCs w:val="23"/>
        </w:rPr>
      </w:r>
    </w:p>
    <w:p>
      <w:pPr>
        <w:pStyle w:val="Normal"/>
        <w:widowControl w:val="false"/>
        <w:tabs>
          <w:tab w:val="clear" w:pos="706"/>
          <w:tab w:val="left" w:pos="4395" w:leader="none"/>
        </w:tabs>
        <w:jc w:val="center"/>
        <w:rPr>
          <w:b/>
          <w:sz w:val="23"/>
          <w:szCs w:val="23"/>
          <w:lang w:val="fi-FI" w:eastAsia="fi-FI"/>
        </w:rPr>
      </w:pPr>
      <w:r>
        <w:rPr>
          <w:b/>
          <w:sz w:val="23"/>
          <w:szCs w:val="23"/>
          <w:lang w:val="fi-FI" w:eastAsia="fi-FI"/>
        </w:rPr>
        <w:t>V Pušu saistības</w:t>
      </w:r>
    </w:p>
    <w:p>
      <w:pPr>
        <w:pStyle w:val="Normal"/>
        <w:widowControl w:val="false"/>
        <w:numPr>
          <w:ilvl w:val="1"/>
          <w:numId w:val="12"/>
        </w:numPr>
        <w:ind w:left="567" w:hanging="567"/>
        <w:jc w:val="both"/>
        <w:rPr>
          <w:sz w:val="23"/>
          <w:szCs w:val="23"/>
          <w:lang w:val="fi-FI" w:eastAsia="fi-FI"/>
        </w:rPr>
      </w:pPr>
      <w:r>
        <w:rPr>
          <w:sz w:val="23"/>
          <w:szCs w:val="23"/>
          <w:shd w:fill="auto" w:val="clear"/>
          <w:lang w:val="fi-FI" w:eastAsia="fi-FI"/>
        </w:rPr>
        <w:t>Piegādātāja saistības:</w:t>
      </w:r>
    </w:p>
    <w:p>
      <w:pPr>
        <w:pStyle w:val="Normal"/>
        <w:widowControl w:val="false"/>
        <w:numPr>
          <w:ilvl w:val="2"/>
          <w:numId w:val="12"/>
        </w:numPr>
        <w:ind w:left="567" w:hanging="567"/>
        <w:jc w:val="both"/>
        <w:rPr>
          <w:sz w:val="23"/>
          <w:szCs w:val="23"/>
          <w:lang w:val="fi-FI" w:eastAsia="fi-FI"/>
        </w:rPr>
      </w:pPr>
      <w:r>
        <w:rPr>
          <w:sz w:val="23"/>
          <w:szCs w:val="23"/>
          <w:shd w:fill="auto" w:val="clear"/>
          <w:lang w:val="fi-FI" w:eastAsia="fi-FI"/>
        </w:rPr>
        <w:t>Piegādātājs apņemas veikt savlaicīgu Transportlīdzekļa piegādi, kā arī kvalitatīvu Transportlīdzekļa tehnisko apkopi, garantijas remont</w:t>
      </w:r>
      <w:r>
        <w:rPr>
          <w:sz w:val="23"/>
          <w:szCs w:val="23"/>
          <w:lang w:val="fi-FI" w:eastAsia="fi-FI"/>
        </w:rPr>
        <w:t>u un ārpus garantijas remontu šajā Līgumā noteiktā laikā un vietā pēc Līguma pielikuma Nr.3.</w:t>
      </w:r>
    </w:p>
    <w:p>
      <w:pPr>
        <w:pStyle w:val="Normal"/>
        <w:widowControl w:val="false"/>
        <w:numPr>
          <w:ilvl w:val="2"/>
          <w:numId w:val="12"/>
        </w:numPr>
        <w:ind w:left="567" w:hanging="567"/>
        <w:jc w:val="both"/>
        <w:rPr>
          <w:sz w:val="23"/>
          <w:szCs w:val="23"/>
          <w:lang w:val="fi-FI" w:eastAsia="fi-FI"/>
        </w:rPr>
      </w:pPr>
      <w:r>
        <w:rPr>
          <w:sz w:val="23"/>
          <w:szCs w:val="23"/>
          <w:lang w:val="fi-FI" w:eastAsia="fi-FI"/>
        </w:rPr>
        <w:t xml:space="preserve">Piegādātājs ir atbildīgs par Transportlīdzekļa atbilstību Eiropas Savienības spēkā esošo normatīvo aktu prasībām. </w:t>
      </w:r>
    </w:p>
    <w:p>
      <w:pPr>
        <w:pStyle w:val="Normal"/>
        <w:widowControl w:val="false"/>
        <w:numPr>
          <w:ilvl w:val="2"/>
          <w:numId w:val="12"/>
        </w:numPr>
        <w:ind w:left="567" w:hanging="567"/>
        <w:jc w:val="both"/>
        <w:rPr>
          <w:sz w:val="23"/>
          <w:szCs w:val="23"/>
          <w:lang w:val="fi-FI" w:eastAsia="fi-FI"/>
        </w:rPr>
      </w:pPr>
      <w:r>
        <w:rPr>
          <w:sz w:val="23"/>
          <w:szCs w:val="23"/>
          <w:lang w:val="fi-FI" w:eastAsia="fi-FI"/>
        </w:rPr>
        <w:t>Piegādātājs apņemas nodrošināt tehniskajās apkopēs, garantijas remonta un ārpus garantijas remonta darbos izmantoto materiālu, metožu, paņēmienu, kā arī darbu izpildē un pārraudzībā iesaistīto darbinieku kvalifikācijas atbilstību.</w:t>
      </w:r>
    </w:p>
    <w:p>
      <w:pPr>
        <w:pStyle w:val="Normal"/>
        <w:widowControl w:val="false"/>
        <w:numPr>
          <w:ilvl w:val="2"/>
          <w:numId w:val="12"/>
        </w:numPr>
        <w:ind w:left="567" w:hanging="567"/>
        <w:jc w:val="both"/>
        <w:rPr>
          <w:sz w:val="23"/>
          <w:szCs w:val="23"/>
          <w:lang w:val="fi-FI" w:eastAsia="fi-FI"/>
        </w:rPr>
      </w:pPr>
      <w:r>
        <w:rPr>
          <w:sz w:val="23"/>
          <w:szCs w:val="23"/>
          <w:lang w:val="fi-FI" w:eastAsia="fi-FI"/>
        </w:rPr>
        <w:t>Piegādātājs uzņemas atbildību par zaudējumiem, kuri nodarīti Pasūtītājam un trešajām personām sakarā ar Līguma noteikumu pārkāpumu, ja Piegādātājs tajos vainojams.</w:t>
      </w:r>
    </w:p>
    <w:p>
      <w:pPr>
        <w:pStyle w:val="Normal"/>
        <w:widowControl w:val="false"/>
        <w:numPr>
          <w:ilvl w:val="1"/>
          <w:numId w:val="12"/>
        </w:numPr>
        <w:ind w:left="567" w:hanging="567"/>
        <w:jc w:val="both"/>
        <w:rPr>
          <w:sz w:val="23"/>
          <w:szCs w:val="23"/>
          <w:lang w:val="fi-FI" w:eastAsia="fi-FI"/>
        </w:rPr>
      </w:pPr>
      <w:r>
        <w:rPr>
          <w:sz w:val="23"/>
          <w:szCs w:val="23"/>
          <w:lang w:val="fi-FI" w:eastAsia="fi-FI"/>
        </w:rPr>
        <w:t xml:space="preserve">Pasūtītājs apņemas veikt samaksu, ievērojot Līguma IV sadaļas noteikumus. </w:t>
      </w:r>
    </w:p>
    <w:p>
      <w:pPr>
        <w:pStyle w:val="Normal"/>
        <w:widowControl w:val="false"/>
        <w:tabs>
          <w:tab w:val="clear" w:pos="706"/>
          <w:tab w:val="left" w:pos="4395" w:leader="none"/>
        </w:tabs>
        <w:jc w:val="center"/>
        <w:rPr>
          <w:sz w:val="23"/>
          <w:szCs w:val="23"/>
          <w:lang w:val="fi-FI" w:eastAsia="fi-FI"/>
        </w:rPr>
      </w:pPr>
      <w:r>
        <w:rPr>
          <w:sz w:val="23"/>
          <w:szCs w:val="23"/>
          <w:lang w:val="fi-FI" w:eastAsia="fi-FI"/>
        </w:rPr>
      </w:r>
    </w:p>
    <w:p>
      <w:pPr>
        <w:pStyle w:val="Normal"/>
        <w:widowControl w:val="false"/>
        <w:tabs>
          <w:tab w:val="clear" w:pos="706"/>
          <w:tab w:val="left" w:pos="4395" w:leader="none"/>
        </w:tabs>
        <w:jc w:val="center"/>
        <w:rPr>
          <w:b/>
          <w:sz w:val="23"/>
          <w:szCs w:val="23"/>
          <w:lang w:val="fi-FI" w:eastAsia="fi-FI"/>
        </w:rPr>
      </w:pPr>
      <w:r>
        <w:rPr>
          <w:b/>
          <w:sz w:val="23"/>
          <w:szCs w:val="23"/>
          <w:lang w:val="fi-FI" w:eastAsia="fi-FI"/>
        </w:rPr>
        <w:t>VI Strīdu risināšana un Pušu atbildība</w:t>
      </w:r>
    </w:p>
    <w:p>
      <w:pPr>
        <w:pStyle w:val="Normal"/>
        <w:widowControl w:val="false"/>
        <w:numPr>
          <w:ilvl w:val="1"/>
          <w:numId w:val="13"/>
        </w:numPr>
        <w:ind w:left="567" w:hanging="567"/>
        <w:jc w:val="both"/>
        <w:rPr>
          <w:sz w:val="23"/>
          <w:szCs w:val="23"/>
          <w:lang w:val="fi-FI" w:eastAsia="fi-FI"/>
        </w:rPr>
      </w:pPr>
      <w:r>
        <w:rPr>
          <w:sz w:val="23"/>
          <w:szCs w:val="23"/>
          <w:lang w:val="fi-FI" w:eastAsia="fi-FI"/>
        </w:rPr>
        <w:t>Šis Līgums ir izskatāms saskaņā ar Latvijas Republikā spēkā esošajiem normatīvajiem aktiem.</w:t>
      </w:r>
    </w:p>
    <w:p>
      <w:pPr>
        <w:pStyle w:val="Normal"/>
        <w:widowControl w:val="false"/>
        <w:numPr>
          <w:ilvl w:val="1"/>
          <w:numId w:val="13"/>
        </w:numPr>
        <w:ind w:left="567" w:hanging="567"/>
        <w:jc w:val="both"/>
        <w:rPr>
          <w:sz w:val="23"/>
          <w:szCs w:val="23"/>
          <w:lang w:val="fi-FI" w:eastAsia="fi-FI"/>
        </w:rPr>
      </w:pPr>
      <w:r>
        <w:rPr>
          <w:sz w:val="23"/>
          <w:szCs w:val="23"/>
          <w:lang w:val="fi-FI" w:eastAsia="fi-FI"/>
        </w:rPr>
        <w:t>Visus strīdus un nesaskaņas, kas izriet no šī Līguma un/vai skar to vai tā pārkāpšanu, izbeigšanu vai spēkā neesamību, Puses risina sarunu ceļā. Ja sarunu ceļā Puses nav vienojušās, strīds tiek risināts saistošo normatīvo aktu noteiktajā kārtībā.</w:t>
      </w:r>
    </w:p>
    <w:p>
      <w:pPr>
        <w:pStyle w:val="Normal"/>
        <w:widowControl w:val="false"/>
        <w:numPr>
          <w:ilvl w:val="1"/>
          <w:numId w:val="13"/>
        </w:numPr>
        <w:ind w:left="567" w:hanging="567"/>
        <w:jc w:val="both"/>
        <w:rPr>
          <w:sz w:val="23"/>
          <w:szCs w:val="23"/>
          <w:lang w:val="fi-FI" w:eastAsia="fi-FI"/>
        </w:rPr>
      </w:pPr>
      <w:r>
        <w:rPr>
          <w:sz w:val="23"/>
          <w:szCs w:val="23"/>
          <w:lang w:val="fi-FI" w:eastAsia="fi-FI"/>
        </w:rPr>
        <w:t>Gadījumā, ja Piegādātājs savas vainas dēļ nokavē Līguma 7.2.punktā noteikto piegādes termiņu, tas maksā Pasūtītājam līgumsod</w:t>
      </w:r>
      <w:r>
        <w:rPr>
          <w:sz w:val="23"/>
          <w:szCs w:val="23"/>
          <w:shd w:fill="auto" w:val="clear"/>
          <w:lang w:val="fi-FI" w:eastAsia="fi-FI"/>
        </w:rPr>
        <w:t>u 1 % (viens procents)</w:t>
      </w:r>
      <w:r>
        <w:rPr>
          <w:sz w:val="23"/>
          <w:szCs w:val="23"/>
          <w:lang w:val="fi-FI" w:eastAsia="fi-FI"/>
        </w:rPr>
        <w:t xml:space="preserve"> apmērā no Transportlīdzekļa cenas bez PVN par katru nokavējuma dienu, bet ne vairāk kā 10 % (desmit procenti) no Transportlīdzekļa, kuras piegāde tiek kavēta, piegādes cenas bez PVN. Pasūtītājs ir tiesīgs ieturēt šajā punktā minēto līgumsodu no naudas summām, kuras Piegādātājam pienākas saskaņā ar Līgumu.</w:t>
      </w:r>
    </w:p>
    <w:p>
      <w:pPr>
        <w:pStyle w:val="Normal"/>
        <w:widowControl w:val="false"/>
        <w:numPr>
          <w:ilvl w:val="1"/>
          <w:numId w:val="13"/>
        </w:numPr>
        <w:ind w:left="567" w:hanging="567"/>
        <w:jc w:val="both"/>
        <w:rPr>
          <w:sz w:val="23"/>
          <w:szCs w:val="23"/>
          <w:lang w:val="fi-FI" w:eastAsia="fi-FI"/>
        </w:rPr>
      </w:pPr>
      <w:r>
        <w:rPr>
          <w:sz w:val="23"/>
          <w:szCs w:val="23"/>
          <w:lang w:val="fi-FI" w:eastAsia="fi-FI"/>
        </w:rPr>
        <w:t>Līgumsoda samaksa neatbrīvo Piegādātāju no Līgumā noteikto saistību izpildes.</w:t>
      </w:r>
    </w:p>
    <w:p>
      <w:pPr>
        <w:pStyle w:val="Normal"/>
        <w:widowControl w:val="false"/>
        <w:tabs>
          <w:tab w:val="clear" w:pos="706"/>
          <w:tab w:val="left" w:pos="4395" w:leader="none"/>
        </w:tabs>
        <w:jc w:val="both"/>
        <w:rPr>
          <w:sz w:val="23"/>
          <w:szCs w:val="23"/>
          <w:lang w:val="fi-FI" w:eastAsia="fi-FI"/>
        </w:rPr>
      </w:pPr>
      <w:r>
        <w:rPr>
          <w:sz w:val="23"/>
          <w:szCs w:val="23"/>
          <w:lang w:val="fi-FI" w:eastAsia="fi-FI"/>
        </w:rPr>
      </w:r>
    </w:p>
    <w:p>
      <w:pPr>
        <w:pStyle w:val="Normal"/>
        <w:widowControl w:val="false"/>
        <w:tabs>
          <w:tab w:val="clear" w:pos="706"/>
          <w:tab w:val="left" w:pos="4395" w:leader="none"/>
        </w:tabs>
        <w:jc w:val="center"/>
        <w:rPr>
          <w:b/>
          <w:sz w:val="23"/>
          <w:szCs w:val="23"/>
          <w:lang w:val="fi-FI" w:eastAsia="fi-FI"/>
        </w:rPr>
      </w:pPr>
      <w:r>
        <w:rPr>
          <w:b/>
          <w:sz w:val="23"/>
          <w:szCs w:val="23"/>
          <w:lang w:val="fi-FI" w:eastAsia="fi-FI"/>
        </w:rPr>
        <w:t>VII Līguma termiņš</w:t>
      </w:r>
    </w:p>
    <w:p>
      <w:pPr>
        <w:pStyle w:val="Normal"/>
        <w:widowControl w:val="false"/>
        <w:numPr>
          <w:ilvl w:val="1"/>
          <w:numId w:val="14"/>
        </w:numPr>
        <w:spacing w:before="0" w:after="0"/>
        <w:ind w:left="567" w:hanging="567"/>
        <w:contextualSpacing/>
        <w:jc w:val="both"/>
        <w:rPr>
          <w:sz w:val="23"/>
          <w:szCs w:val="23"/>
          <w:lang w:val="fi-FI" w:eastAsia="fi-FI"/>
        </w:rPr>
      </w:pPr>
      <w:r>
        <w:rPr>
          <w:sz w:val="23"/>
          <w:szCs w:val="23"/>
          <w:lang w:val="fi-FI" w:eastAsia="fi-FI"/>
        </w:rPr>
        <w:t>Līgums stājas spēkā tā abpusējas parakstīšanas dienā un darbojas līdz tajā noteikto Pušu saistību pilnīgai izpildei.</w:t>
      </w:r>
    </w:p>
    <w:p>
      <w:pPr>
        <w:pStyle w:val="Normal"/>
        <w:widowControl w:val="false"/>
        <w:numPr>
          <w:ilvl w:val="1"/>
          <w:numId w:val="14"/>
        </w:numPr>
        <w:spacing w:before="0" w:after="0"/>
        <w:ind w:left="567" w:hanging="567"/>
        <w:contextualSpacing/>
        <w:jc w:val="both"/>
        <w:rPr>
          <w:sz w:val="23"/>
          <w:szCs w:val="23"/>
          <w:lang w:val="fi-FI" w:eastAsia="fi-FI"/>
        </w:rPr>
      </w:pPr>
      <w:r>
        <w:rPr>
          <w:sz w:val="23"/>
          <w:szCs w:val="23"/>
          <w:lang w:val="fi-FI" w:eastAsia="fi-FI"/>
        </w:rPr>
        <w:t>Piegādātājs Transportlīdzekli</w:t>
      </w:r>
      <w:r>
        <w:rPr>
          <w:sz w:val="23"/>
          <w:szCs w:val="23"/>
          <w:lang w:eastAsia="fi-FI"/>
        </w:rPr>
        <w:t xml:space="preserve"> saskaņā ar Līguma piegādā</w:t>
      </w:r>
      <w:r>
        <w:rPr>
          <w:b/>
          <w:bCs/>
          <w:sz w:val="23"/>
          <w:szCs w:val="23"/>
          <w:lang w:eastAsia="fi-FI"/>
        </w:rPr>
        <w:t xml:space="preserve"> ________________ laikā</w:t>
      </w:r>
      <w:r>
        <w:rPr>
          <w:sz w:val="23"/>
          <w:szCs w:val="23"/>
          <w:lang w:eastAsia="fi-FI"/>
        </w:rPr>
        <w:t xml:space="preserve"> no Līguma spēkā stāšanās dienas. </w:t>
      </w:r>
    </w:p>
    <w:p>
      <w:pPr>
        <w:pStyle w:val="Normal"/>
        <w:widowControl w:val="false"/>
        <w:numPr>
          <w:ilvl w:val="1"/>
          <w:numId w:val="14"/>
        </w:numPr>
        <w:spacing w:before="0" w:after="0"/>
        <w:ind w:left="567" w:hanging="567"/>
        <w:contextualSpacing/>
        <w:jc w:val="both"/>
        <w:rPr>
          <w:sz w:val="23"/>
          <w:szCs w:val="23"/>
          <w:lang w:val="fi-FI" w:eastAsia="fi-FI"/>
        </w:rPr>
      </w:pPr>
      <w:r>
        <w:rPr>
          <w:sz w:val="23"/>
          <w:szCs w:val="23"/>
          <w:lang w:val="fi-FI" w:eastAsia="fi-FI"/>
        </w:rPr>
        <w:t xml:space="preserve">Transportlīdzekļa </w:t>
      </w:r>
      <w:r>
        <w:rPr>
          <w:sz w:val="23"/>
          <w:szCs w:val="23"/>
          <w:lang w:eastAsia="fi-FI"/>
        </w:rPr>
        <w:t xml:space="preserve">tehniskās apkopes, garantijas remonta un </w:t>
      </w:r>
      <w:r>
        <w:rPr>
          <w:sz w:val="23"/>
          <w:szCs w:val="23"/>
          <w:lang w:val="fi-FI" w:eastAsia="fi-FI"/>
        </w:rPr>
        <w:t xml:space="preserve">ārpus garantijas </w:t>
      </w:r>
      <w:r>
        <w:rPr>
          <w:sz w:val="23"/>
          <w:szCs w:val="23"/>
          <w:lang w:eastAsia="fi-FI"/>
        </w:rPr>
        <w:t xml:space="preserve">remonta darbus </w:t>
      </w:r>
      <w:r>
        <w:rPr>
          <w:sz w:val="23"/>
          <w:szCs w:val="23"/>
          <w:lang w:val="fi-FI" w:eastAsia="fi-FI"/>
        </w:rPr>
        <w:t xml:space="preserve">Piegādātājs </w:t>
      </w:r>
      <w:r>
        <w:rPr>
          <w:sz w:val="23"/>
          <w:szCs w:val="23"/>
          <w:lang w:eastAsia="fi-FI"/>
        </w:rPr>
        <w:t xml:space="preserve">veic līdz Pielikumā </w:t>
      </w:r>
      <w:r>
        <w:rPr>
          <w:sz w:val="23"/>
          <w:szCs w:val="23"/>
          <w:lang w:val="fi-FI" w:eastAsia="fi-FI"/>
        </w:rPr>
        <w:t xml:space="preserve">Nr.1 </w:t>
      </w:r>
      <w:r>
        <w:rPr>
          <w:sz w:val="23"/>
          <w:szCs w:val="23"/>
          <w:lang w:eastAsia="fi-FI"/>
        </w:rPr>
        <w:t xml:space="preserve">norādītajiem termiņā, skaitot </w:t>
      </w:r>
      <w:r>
        <w:rPr>
          <w:sz w:val="23"/>
          <w:szCs w:val="23"/>
          <w:lang w:val="fi-FI" w:eastAsia="fi-FI"/>
        </w:rPr>
        <w:t xml:space="preserve">no Transportlīdzekļa reģistrācijas uz Pasūtītāja vārda CSDD dienas </w:t>
      </w:r>
      <w:r>
        <w:rPr>
          <w:sz w:val="23"/>
          <w:szCs w:val="23"/>
          <w:lang w:eastAsia="fi-FI"/>
        </w:rPr>
        <w:t>un Pielikuma nr.3 apjomā.</w:t>
      </w:r>
    </w:p>
    <w:p>
      <w:pPr>
        <w:pStyle w:val="Normal"/>
        <w:widowControl w:val="false"/>
        <w:numPr>
          <w:ilvl w:val="1"/>
          <w:numId w:val="14"/>
        </w:numPr>
        <w:spacing w:before="0" w:after="0"/>
        <w:ind w:left="567" w:hanging="567"/>
        <w:contextualSpacing/>
        <w:jc w:val="both"/>
        <w:rPr>
          <w:sz w:val="23"/>
          <w:szCs w:val="23"/>
          <w:lang w:val="fi-FI" w:eastAsia="fi-FI"/>
        </w:rPr>
      </w:pPr>
      <w:r>
        <w:rPr>
          <w:sz w:val="23"/>
          <w:szCs w:val="23"/>
          <w:lang w:eastAsia="fi-FI"/>
        </w:rPr>
        <w:t>Pusēm ir tiesības grozīt Līguma termiņu vai lauzt to, savstarpēji vienojoties.</w:t>
      </w:r>
    </w:p>
    <w:p>
      <w:pPr>
        <w:pStyle w:val="Normal"/>
        <w:widowControl w:val="false"/>
        <w:numPr>
          <w:ilvl w:val="1"/>
          <w:numId w:val="14"/>
        </w:numPr>
        <w:spacing w:before="0" w:after="0"/>
        <w:ind w:left="567" w:hanging="567"/>
        <w:contextualSpacing/>
        <w:jc w:val="both"/>
        <w:rPr>
          <w:sz w:val="23"/>
          <w:szCs w:val="23"/>
          <w:lang w:val="fi-FI" w:eastAsia="fi-FI"/>
        </w:rPr>
      </w:pPr>
      <w:r>
        <w:rPr>
          <w:sz w:val="23"/>
          <w:szCs w:val="23"/>
          <w:lang w:eastAsia="fi-FI"/>
        </w:rPr>
        <w:t>Puses ir tiesīgas vienpusēji, otru Pusi rakstiski brīdinot vismaz 15 (piecpadsmit) dienas iepriekš, atkāpties no Līguma, ja otra Puse ir atzīta par maksātnespējīgu, saņemts iesniegums no tiesas par otras Puses maksātnespēju vai pastāvot citiem noteikumiem, kas rada šaubas par otras Puses finansiālo stāvokli un iespējām izpildīt Līguma noteikumus.</w:t>
      </w:r>
    </w:p>
    <w:p>
      <w:pPr>
        <w:pStyle w:val="Normal"/>
        <w:widowControl w:val="false"/>
        <w:tabs>
          <w:tab w:val="clear" w:pos="706"/>
          <w:tab w:val="left" w:pos="4395" w:leader="none"/>
        </w:tabs>
        <w:jc w:val="center"/>
        <w:rPr>
          <w:sz w:val="23"/>
          <w:szCs w:val="23"/>
          <w:lang w:eastAsia="fi-FI"/>
        </w:rPr>
      </w:pPr>
      <w:r>
        <w:rPr>
          <w:sz w:val="23"/>
          <w:szCs w:val="23"/>
          <w:lang w:eastAsia="fi-FI"/>
        </w:rPr>
      </w:r>
    </w:p>
    <w:p>
      <w:pPr>
        <w:pStyle w:val="Normal"/>
        <w:widowControl w:val="false"/>
        <w:tabs>
          <w:tab w:val="clear" w:pos="706"/>
          <w:tab w:val="left" w:pos="4395" w:leader="none"/>
        </w:tabs>
        <w:jc w:val="center"/>
        <w:rPr>
          <w:b/>
          <w:sz w:val="23"/>
          <w:szCs w:val="23"/>
          <w:lang w:eastAsia="fi-FI"/>
        </w:rPr>
      </w:pPr>
      <w:r>
        <w:rPr>
          <w:b/>
          <w:sz w:val="23"/>
          <w:szCs w:val="23"/>
          <w:lang w:eastAsia="fi-FI"/>
        </w:rPr>
        <w:t>VIII Garantijas noteikumi</w:t>
      </w:r>
    </w:p>
    <w:p>
      <w:pPr>
        <w:pStyle w:val="Normal"/>
        <w:widowControl w:val="false"/>
        <w:numPr>
          <w:ilvl w:val="1"/>
          <w:numId w:val="15"/>
        </w:numPr>
        <w:ind w:left="567" w:hanging="567"/>
        <w:jc w:val="both"/>
        <w:rPr>
          <w:sz w:val="23"/>
          <w:szCs w:val="23"/>
          <w:lang w:eastAsia="fi-FI"/>
        </w:rPr>
      </w:pPr>
      <w:r>
        <w:rPr>
          <w:sz w:val="23"/>
          <w:szCs w:val="23"/>
          <w:lang w:val="fi-FI" w:eastAsia="fi-FI"/>
        </w:rPr>
        <w:t>Piegādātājs</w:t>
      </w:r>
      <w:r>
        <w:rPr>
          <w:sz w:val="23"/>
          <w:szCs w:val="23"/>
          <w:lang w:eastAsia="fi-FI"/>
        </w:rPr>
        <w:t xml:space="preserve"> garantē, ka piegādātā </w:t>
      </w:r>
      <w:r>
        <w:rPr>
          <w:sz w:val="23"/>
          <w:szCs w:val="23"/>
          <w:lang w:val="fi-FI" w:eastAsia="fi-FI"/>
        </w:rPr>
        <w:t>Transportlīdzeklis</w:t>
      </w:r>
      <w:r>
        <w:rPr>
          <w:sz w:val="23"/>
          <w:szCs w:val="23"/>
          <w:lang w:eastAsia="fi-FI"/>
        </w:rPr>
        <w:t xml:space="preserve"> pilnībā atbildīs atklāta konkursam "Transportlīdzekļa iegāde" DE 2024/10 piedāvājumam un visu to spēkā esošo Eiropas Savienības normatīvo aktu prasībām, kas uz tām attiecas. </w:t>
      </w:r>
    </w:p>
    <w:p>
      <w:pPr>
        <w:pStyle w:val="Normal"/>
        <w:widowControl w:val="false"/>
        <w:numPr>
          <w:ilvl w:val="1"/>
          <w:numId w:val="15"/>
        </w:numPr>
        <w:ind w:left="567" w:hanging="567"/>
        <w:jc w:val="both"/>
        <w:rPr>
          <w:sz w:val="23"/>
          <w:szCs w:val="23"/>
          <w:lang w:eastAsia="fi-FI"/>
        </w:rPr>
      </w:pPr>
      <w:r>
        <w:rPr>
          <w:sz w:val="23"/>
          <w:szCs w:val="23"/>
          <w:lang w:eastAsia="fi-FI"/>
        </w:rPr>
        <w:t xml:space="preserve">Ja pēc </w:t>
      </w:r>
      <w:r>
        <w:rPr>
          <w:sz w:val="23"/>
          <w:szCs w:val="23"/>
          <w:lang w:val="fi-FI" w:eastAsia="fi-FI"/>
        </w:rPr>
        <w:t>Transportlīdzekļa</w:t>
      </w:r>
      <w:r>
        <w:rPr>
          <w:sz w:val="23"/>
          <w:szCs w:val="23"/>
          <w:lang w:eastAsia="fi-FI"/>
        </w:rPr>
        <w:t xml:space="preserve"> Piegādes atklāsies, ka </w:t>
      </w:r>
      <w:r>
        <w:rPr>
          <w:sz w:val="23"/>
          <w:szCs w:val="23"/>
          <w:lang w:val="fi-FI" w:eastAsia="fi-FI"/>
        </w:rPr>
        <w:t>Piegādātāja</w:t>
      </w:r>
      <w:r>
        <w:rPr>
          <w:sz w:val="23"/>
          <w:szCs w:val="23"/>
          <w:lang w:eastAsia="fi-FI"/>
        </w:rPr>
        <w:t xml:space="preserve"> piegādājis Transportlīdzeklis</w:t>
      </w:r>
      <w:r>
        <w:rPr>
          <w:sz w:val="23"/>
          <w:szCs w:val="23"/>
          <w:lang w:val="fi-FI" w:eastAsia="fi-FI"/>
        </w:rPr>
        <w:t xml:space="preserve"> </w:t>
      </w:r>
      <w:r>
        <w:rPr>
          <w:sz w:val="23"/>
          <w:szCs w:val="23"/>
          <w:lang w:eastAsia="fi-FI"/>
        </w:rPr>
        <w:t xml:space="preserve">tehniskā specifikācija neatbilst atklāta konkursa "Transportlīdzekļa iegāde" DE 2024/10 iesniegtajam piedāvājumam, </w:t>
      </w:r>
      <w:r>
        <w:rPr>
          <w:sz w:val="23"/>
          <w:szCs w:val="23"/>
          <w:lang w:val="fi-FI" w:eastAsia="fi-FI"/>
        </w:rPr>
        <w:t>Piegādātājs</w:t>
      </w:r>
      <w:r>
        <w:rPr>
          <w:sz w:val="23"/>
          <w:szCs w:val="23"/>
          <w:lang w:eastAsia="fi-FI"/>
        </w:rPr>
        <w:t xml:space="preserve"> ir pienākums 10 (desmit) dienu laikā no pārkāpuma atklāšanas nomainīt piegādāto </w:t>
      </w:r>
      <w:r>
        <w:rPr>
          <w:sz w:val="23"/>
          <w:szCs w:val="23"/>
          <w:lang w:val="fi-FI" w:eastAsia="fi-FI"/>
        </w:rPr>
        <w:t>Transportlīdzekli</w:t>
      </w:r>
      <w:r>
        <w:rPr>
          <w:sz w:val="23"/>
          <w:szCs w:val="23"/>
          <w:lang w:eastAsia="fi-FI"/>
        </w:rPr>
        <w:t xml:space="preserve"> pret jaunu vai novērst esošo neatbilsību pret Pasūtītāja prasībām atbilstošu </w:t>
      </w:r>
      <w:r>
        <w:rPr>
          <w:sz w:val="23"/>
          <w:szCs w:val="23"/>
          <w:lang w:val="fi-FI" w:eastAsia="fi-FI"/>
        </w:rPr>
        <w:t>Transportlīdzekli</w:t>
      </w:r>
      <w:r>
        <w:rPr>
          <w:sz w:val="23"/>
          <w:szCs w:val="23"/>
          <w:lang w:eastAsia="fi-FI"/>
        </w:rPr>
        <w:t xml:space="preserve">. </w:t>
      </w:r>
    </w:p>
    <w:p>
      <w:pPr>
        <w:pStyle w:val="Normal"/>
        <w:widowControl w:val="false"/>
        <w:numPr>
          <w:ilvl w:val="1"/>
          <w:numId w:val="15"/>
        </w:numPr>
        <w:ind w:left="567" w:hanging="567"/>
        <w:jc w:val="both"/>
        <w:rPr>
          <w:sz w:val="23"/>
          <w:szCs w:val="23"/>
          <w:lang w:eastAsia="fi-FI"/>
        </w:rPr>
      </w:pPr>
      <w:r>
        <w:rPr>
          <w:sz w:val="23"/>
          <w:szCs w:val="23"/>
          <w:lang w:val="fi-FI" w:eastAsia="fi-FI"/>
        </w:rPr>
        <w:t>Transportlīdzekļa</w:t>
      </w:r>
      <w:r>
        <w:rPr>
          <w:sz w:val="23"/>
          <w:szCs w:val="23"/>
          <w:lang w:eastAsia="fi-FI"/>
        </w:rPr>
        <w:t xml:space="preserve"> garantijas laiks tiek noteikts līdz Pielikumā </w:t>
      </w:r>
      <w:r>
        <w:rPr>
          <w:sz w:val="23"/>
          <w:szCs w:val="23"/>
          <w:lang w:val="fi-FI" w:eastAsia="fi-FI"/>
        </w:rPr>
        <w:t xml:space="preserve">Nr.1 </w:t>
      </w:r>
      <w:r>
        <w:rPr>
          <w:sz w:val="23"/>
          <w:szCs w:val="23"/>
          <w:lang w:eastAsia="fi-FI"/>
        </w:rPr>
        <w:t xml:space="preserve">norādītajam termiņā, skaitot </w:t>
      </w:r>
      <w:r>
        <w:rPr>
          <w:sz w:val="23"/>
          <w:szCs w:val="23"/>
          <w:lang w:val="fi-FI" w:eastAsia="fi-FI"/>
        </w:rPr>
        <w:t>no Transportlīdzekļa reģistrācijas uz Pasūtītāja vārda CSDD dienas.</w:t>
      </w:r>
    </w:p>
    <w:p>
      <w:pPr>
        <w:pStyle w:val="Normal"/>
        <w:widowControl w:val="false"/>
        <w:numPr>
          <w:ilvl w:val="1"/>
          <w:numId w:val="15"/>
        </w:numPr>
        <w:ind w:left="567" w:hanging="567"/>
        <w:jc w:val="both"/>
        <w:rPr>
          <w:sz w:val="23"/>
          <w:szCs w:val="23"/>
          <w:lang w:eastAsia="fi-FI"/>
        </w:rPr>
      </w:pPr>
      <w:r>
        <w:rPr>
          <w:sz w:val="23"/>
          <w:szCs w:val="23"/>
          <w:lang w:eastAsia="fi-FI"/>
        </w:rPr>
        <w:t xml:space="preserve">Garantijas laikā </w:t>
      </w:r>
      <w:r>
        <w:rPr>
          <w:sz w:val="23"/>
          <w:szCs w:val="23"/>
          <w:lang w:val="fi-FI" w:eastAsia="fi-FI"/>
        </w:rPr>
        <w:t>Piegādātājs</w:t>
      </w:r>
      <w:r>
        <w:rPr>
          <w:sz w:val="23"/>
          <w:szCs w:val="23"/>
          <w:lang w:eastAsia="fi-FI"/>
        </w:rPr>
        <w:t xml:space="preserve"> ir atbildīgs par katru </w:t>
      </w:r>
      <w:r>
        <w:rPr>
          <w:sz w:val="23"/>
          <w:szCs w:val="23"/>
          <w:lang w:val="fi-FI" w:eastAsia="fi-FI"/>
        </w:rPr>
        <w:t>Transportlīdzekļa</w:t>
      </w:r>
      <w:r>
        <w:rPr>
          <w:sz w:val="23"/>
          <w:szCs w:val="23"/>
          <w:lang w:eastAsia="fi-FI"/>
        </w:rPr>
        <w:t xml:space="preserve"> defektu, ja vien tas nav radies Pasūtītāja nepareizas rīcības dēļ, neatbilstoši ekspluatējot </w:t>
      </w:r>
      <w:r>
        <w:rPr>
          <w:sz w:val="23"/>
          <w:szCs w:val="23"/>
          <w:lang w:val="fi-FI" w:eastAsia="fi-FI"/>
        </w:rPr>
        <w:t>Transportlīdzekli</w:t>
      </w:r>
      <w:r>
        <w:rPr>
          <w:sz w:val="23"/>
          <w:szCs w:val="23"/>
          <w:lang w:eastAsia="fi-FI"/>
        </w:rPr>
        <w:t>.</w:t>
      </w:r>
    </w:p>
    <w:p>
      <w:pPr>
        <w:pStyle w:val="Normal"/>
        <w:widowControl w:val="false"/>
        <w:numPr>
          <w:ilvl w:val="1"/>
          <w:numId w:val="15"/>
        </w:numPr>
        <w:ind w:left="567" w:hanging="567"/>
        <w:jc w:val="both"/>
        <w:rPr>
          <w:sz w:val="23"/>
          <w:szCs w:val="23"/>
          <w:lang w:eastAsia="fi-FI"/>
        </w:rPr>
      </w:pPr>
      <w:r>
        <w:rPr>
          <w:sz w:val="23"/>
          <w:szCs w:val="23"/>
          <w:lang w:eastAsia="fi-FI"/>
        </w:rPr>
        <w:t xml:space="preserve">Garantijas laikā </w:t>
      </w:r>
      <w:r>
        <w:rPr>
          <w:sz w:val="23"/>
          <w:szCs w:val="23"/>
          <w:lang w:val="fi-FI" w:eastAsia="fi-FI"/>
        </w:rPr>
        <w:t>Piegādātājs</w:t>
      </w:r>
      <w:r>
        <w:rPr>
          <w:sz w:val="23"/>
          <w:szCs w:val="23"/>
          <w:lang w:eastAsia="fi-FI"/>
        </w:rPr>
        <w:t xml:space="preserve"> apņemas veikt bojātā </w:t>
      </w:r>
      <w:r>
        <w:rPr>
          <w:sz w:val="23"/>
          <w:szCs w:val="23"/>
          <w:lang w:val="fi-FI" w:eastAsia="fi-FI"/>
        </w:rPr>
        <w:t>Transportlīdzekļa</w:t>
      </w:r>
      <w:r>
        <w:rPr>
          <w:sz w:val="23"/>
          <w:szCs w:val="23"/>
          <w:lang w:eastAsia="fi-FI"/>
        </w:rPr>
        <w:t xml:space="preserve"> garantijas remontu 20 (divdesmit) dienu laikā pēc atbilstoša elektroniska pieprasījuma saņemšanas, kas tiek nosūtīts uz Līgumā vai Pasūtītāja mājas lapā norādīto e-pasta adresi, izņemot, ja remonta izpildei nepieciešama atsevišķa rezerves daļu piegāde, par ko </w:t>
      </w:r>
      <w:r>
        <w:rPr>
          <w:sz w:val="23"/>
          <w:szCs w:val="23"/>
          <w:lang w:val="fi-FI" w:eastAsia="fi-FI"/>
        </w:rPr>
        <w:t>Piegādātājs</w:t>
      </w:r>
      <w:r>
        <w:rPr>
          <w:sz w:val="23"/>
          <w:szCs w:val="23"/>
          <w:lang w:eastAsia="fi-FI"/>
        </w:rPr>
        <w:t xml:space="preserve"> Pasūtītāju informē, nosūtot ziņojumu uz Līgumā norādīto e-pasta adresi, un Puses saskaņo garantijas saistību izpildes termiņu. </w:t>
      </w:r>
    </w:p>
    <w:p>
      <w:pPr>
        <w:pStyle w:val="Normal"/>
        <w:widowControl w:val="false"/>
        <w:numPr>
          <w:ilvl w:val="1"/>
          <w:numId w:val="15"/>
        </w:numPr>
        <w:ind w:left="567" w:hanging="567"/>
        <w:jc w:val="both"/>
        <w:rPr>
          <w:sz w:val="23"/>
          <w:szCs w:val="23"/>
          <w:lang w:eastAsia="fi-FI"/>
        </w:rPr>
      </w:pPr>
      <w:r>
        <w:rPr>
          <w:sz w:val="23"/>
          <w:szCs w:val="23"/>
          <w:lang w:eastAsia="fi-FI"/>
        </w:rPr>
        <w:t>Garantijas noteikumi pievienoti Līguma Pielikumā Nr.3.</w:t>
      </w:r>
    </w:p>
    <w:p>
      <w:pPr>
        <w:pStyle w:val="Normal"/>
        <w:widowControl w:val="false"/>
        <w:tabs>
          <w:tab w:val="clear" w:pos="706"/>
          <w:tab w:val="left" w:pos="4395" w:leader="none"/>
        </w:tabs>
        <w:jc w:val="both"/>
        <w:rPr>
          <w:sz w:val="23"/>
          <w:szCs w:val="23"/>
          <w:lang w:eastAsia="fi-FI"/>
        </w:rPr>
      </w:pPr>
      <w:r>
        <w:rPr>
          <w:sz w:val="23"/>
          <w:szCs w:val="23"/>
          <w:lang w:eastAsia="fi-FI"/>
        </w:rPr>
      </w:r>
    </w:p>
    <w:p>
      <w:pPr>
        <w:pStyle w:val="Normal"/>
        <w:widowControl w:val="false"/>
        <w:tabs>
          <w:tab w:val="clear" w:pos="706"/>
          <w:tab w:val="left" w:pos="4395" w:leader="none"/>
        </w:tabs>
        <w:jc w:val="center"/>
        <w:rPr>
          <w:b/>
          <w:sz w:val="23"/>
          <w:szCs w:val="23"/>
          <w:lang w:eastAsia="fi-FI"/>
        </w:rPr>
      </w:pPr>
      <w:r>
        <w:rPr>
          <w:b/>
          <w:sz w:val="23"/>
          <w:szCs w:val="23"/>
          <w:lang w:eastAsia="fi-FI"/>
        </w:rPr>
        <w:t>IX Nepārvaramā vara</w:t>
      </w:r>
    </w:p>
    <w:p>
      <w:pPr>
        <w:pStyle w:val="Normal"/>
        <w:widowControl w:val="false"/>
        <w:numPr>
          <w:ilvl w:val="1"/>
          <w:numId w:val="16"/>
        </w:numPr>
        <w:ind w:left="567" w:hanging="567"/>
        <w:jc w:val="both"/>
        <w:rPr>
          <w:sz w:val="23"/>
          <w:szCs w:val="23"/>
          <w:lang w:eastAsia="fi-FI"/>
        </w:rPr>
      </w:pPr>
      <w:r>
        <w:rPr>
          <w:sz w:val="23"/>
          <w:szCs w:val="23"/>
          <w:lang w:eastAsia="fi-FI"/>
        </w:rPr>
        <w:t>Puses nenes atbildību par Līguma noteikumu kavējumu vai neizpildi, kas radusies karu, revolūcijas, ugunsgrēku, plūdu, karantīnas ierobežojumu, valsts institūciju noteikto ierobežojumu un citu no Pusēm neatkarīgu iemeslu dēļ. Nepārvarama vara neietver sevī preču ražotāju vai pārvadātāju rīcību.</w:t>
      </w:r>
    </w:p>
    <w:p>
      <w:pPr>
        <w:pStyle w:val="Normal"/>
        <w:widowControl w:val="false"/>
        <w:numPr>
          <w:ilvl w:val="1"/>
          <w:numId w:val="16"/>
        </w:numPr>
        <w:ind w:left="567" w:hanging="567"/>
        <w:jc w:val="both"/>
        <w:rPr>
          <w:sz w:val="23"/>
          <w:szCs w:val="23"/>
          <w:lang w:eastAsia="fi-FI"/>
        </w:rPr>
      </w:pPr>
      <w:r>
        <w:rPr>
          <w:sz w:val="23"/>
          <w:szCs w:val="23"/>
          <w:lang w:eastAsia="fi-FI"/>
        </w:rPr>
        <w:t>Ja izceļas nepārvaramas varas situācija, Puses nekavējoties, bet ne vēlāk kā 10 (desmit) dienu laikā paziņo otrai Pusei par šādiem apstākļiem un to cēloņiem.</w:t>
      </w:r>
    </w:p>
    <w:p>
      <w:pPr>
        <w:pStyle w:val="Normal"/>
        <w:widowControl w:val="false"/>
        <w:jc w:val="center"/>
        <w:rPr>
          <w:sz w:val="23"/>
          <w:szCs w:val="23"/>
          <w:lang w:eastAsia="fi-FI"/>
        </w:rPr>
      </w:pPr>
      <w:r>
        <w:rPr>
          <w:sz w:val="23"/>
          <w:szCs w:val="23"/>
          <w:lang w:eastAsia="fi-FI"/>
        </w:rPr>
      </w:r>
    </w:p>
    <w:p>
      <w:pPr>
        <w:pStyle w:val="Normal"/>
        <w:widowControl w:val="false"/>
        <w:tabs>
          <w:tab w:val="clear" w:pos="706"/>
          <w:tab w:val="left" w:pos="4395" w:leader="none"/>
        </w:tabs>
        <w:jc w:val="center"/>
        <w:rPr>
          <w:b/>
          <w:sz w:val="23"/>
          <w:szCs w:val="23"/>
          <w:lang w:eastAsia="fi-FI"/>
        </w:rPr>
      </w:pPr>
      <w:r>
        <w:rPr>
          <w:b/>
          <w:sz w:val="23"/>
          <w:szCs w:val="23"/>
          <w:lang w:eastAsia="fi-FI"/>
        </w:rPr>
        <w:t>X Citi noteikumi</w:t>
      </w:r>
    </w:p>
    <w:p>
      <w:pPr>
        <w:pStyle w:val="Normal"/>
        <w:widowControl w:val="false"/>
        <w:numPr>
          <w:ilvl w:val="1"/>
          <w:numId w:val="17"/>
        </w:numPr>
        <w:ind w:left="567" w:hanging="567"/>
        <w:jc w:val="both"/>
        <w:rPr>
          <w:sz w:val="23"/>
          <w:szCs w:val="23"/>
          <w:lang w:eastAsia="fi-FI"/>
        </w:rPr>
      </w:pPr>
      <w:r>
        <w:rPr>
          <w:sz w:val="23"/>
          <w:szCs w:val="23"/>
          <w:lang w:eastAsia="fi-FI"/>
        </w:rPr>
        <w:t>Puses apņemas brīdināt otru Pusi par savu rekvizītu, pasta vai juridiskās adreses maiņu vismaz 15 (piecpadsmit) dienas iepriekš.</w:t>
      </w:r>
    </w:p>
    <w:p>
      <w:pPr>
        <w:pStyle w:val="Normal"/>
        <w:widowControl w:val="false"/>
        <w:numPr>
          <w:ilvl w:val="1"/>
          <w:numId w:val="17"/>
        </w:numPr>
        <w:ind w:left="567" w:hanging="567"/>
        <w:jc w:val="both"/>
        <w:rPr>
          <w:sz w:val="23"/>
          <w:szCs w:val="23"/>
          <w:lang w:eastAsia="fi-FI"/>
        </w:rPr>
      </w:pPr>
      <w:r>
        <w:rPr>
          <w:sz w:val="23"/>
          <w:szCs w:val="23"/>
          <w:lang w:eastAsia="fi-FI"/>
        </w:rPr>
        <w:t>Līguma izbeigšanās jebkādu iemeslu dēļ neatbrīvo Puses no uzņemto saistību izpildes. Līgums ir saistošs Pušu tiesību pārņēmējiem.</w:t>
      </w:r>
    </w:p>
    <w:p>
      <w:pPr>
        <w:pStyle w:val="Normal"/>
        <w:widowControl w:val="false"/>
        <w:numPr>
          <w:ilvl w:val="1"/>
          <w:numId w:val="17"/>
        </w:numPr>
        <w:ind w:left="567" w:hanging="567"/>
        <w:jc w:val="both"/>
        <w:rPr>
          <w:sz w:val="23"/>
          <w:szCs w:val="23"/>
          <w:lang w:eastAsia="fi-FI"/>
        </w:rPr>
      </w:pPr>
      <w:r>
        <w:rPr/>
        <w:t xml:space="preserve">Pasūtītājam ir tiesības vienpusēji atkāpties no Līguma izpildes, ja Līgumu nav iespējams izpildīt tādēļ, ka </w:t>
      </w:r>
      <w:r>
        <w:rPr>
          <w:sz w:val="23"/>
          <w:szCs w:val="23"/>
          <w:lang w:val="fi-FI" w:eastAsia="fi-FI"/>
        </w:rPr>
        <w:t>Piegādātājam</w:t>
      </w:r>
      <w:r>
        <w:rPr/>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pPr>
        <w:pStyle w:val="Normal"/>
        <w:widowControl w:val="false"/>
        <w:numPr>
          <w:ilvl w:val="1"/>
          <w:numId w:val="17"/>
        </w:numPr>
        <w:ind w:left="567" w:hanging="567"/>
        <w:jc w:val="both"/>
        <w:rPr>
          <w:sz w:val="23"/>
          <w:szCs w:val="23"/>
          <w:lang w:eastAsia="fi-FI"/>
        </w:rPr>
      </w:pPr>
      <w:r>
        <w:rPr>
          <w:bCs/>
          <w:sz w:val="23"/>
          <w:szCs w:val="23"/>
          <w:lang w:eastAsia="en-US"/>
        </w:rPr>
        <w:t xml:space="preserve">Informācija, ko satur šis Līgums vai kas Pusēm kļūst zināma saistībā ar šo Līgumu, uzskatāma par komercnoslēpumu, un to iespējams izpaust citām personām tikai ar otras Puses rakstisku piekrišanu. Teiktais neattiecas uz gadījumu, kad informācijas atklāšanu pieprasa spēkā esošie </w:t>
      </w:r>
      <w:r>
        <w:rPr>
          <w:sz w:val="23"/>
          <w:szCs w:val="23"/>
          <w:lang w:eastAsia="en-US"/>
        </w:rPr>
        <w:t xml:space="preserve">Latvijas Republikas likumi. Ja kāda no Pusēm ir prettiesiski izpaudusi informāciju, kas uzskatāma par komercnoslēpumu saskaņā ar šo Līgumu, tādējādi nodarot otrai Pusei zaudējumus, beidzamā ir tiesīga </w:t>
      </w:r>
      <w:r>
        <w:rPr>
          <w:bCs/>
          <w:sz w:val="23"/>
          <w:szCs w:val="23"/>
          <w:lang w:eastAsia="en-US"/>
        </w:rPr>
        <w:t>pieprasīt tai atlīdzināt tiešos zaudējumus, kam par iemeslu bijusi šādas informācijas prettiesiska izpaušana.</w:t>
      </w:r>
    </w:p>
    <w:p>
      <w:pPr>
        <w:pStyle w:val="Normal"/>
        <w:numPr>
          <w:ilvl w:val="1"/>
          <w:numId w:val="17"/>
        </w:numPr>
        <w:ind w:left="567" w:hanging="567"/>
        <w:jc w:val="both"/>
        <w:rPr>
          <w:sz w:val="23"/>
          <w:szCs w:val="23"/>
        </w:rPr>
      </w:pPr>
      <w:r>
        <w:rPr>
          <w:sz w:val="23"/>
          <w:szCs w:val="23"/>
          <w:lang w:val="fi-FI" w:eastAsia="fi-FI"/>
        </w:rPr>
        <w:t>Piegādātāja</w:t>
      </w:r>
      <w:r>
        <w:rPr>
          <w:sz w:val="23"/>
          <w:szCs w:val="23"/>
        </w:rPr>
        <w:t xml:space="preserve"> kontaktpersona Līguma izpildē ir _________________________. Kontaktpersona </w:t>
      </w:r>
      <w:r>
        <w:rPr>
          <w:sz w:val="23"/>
          <w:szCs w:val="23"/>
          <w:lang w:val="fi-FI" w:eastAsia="fi-FI"/>
        </w:rPr>
        <w:t>Transportlīdzekļa</w:t>
      </w:r>
      <w:r>
        <w:rPr>
          <w:sz w:val="23"/>
          <w:szCs w:val="23"/>
        </w:rPr>
        <w:t xml:space="preserve"> tehniskās apkopes, garantijas remonta un ārpus garantijas remonta darbu jautājumos ir _________________________.</w:t>
      </w:r>
    </w:p>
    <w:p>
      <w:pPr>
        <w:pStyle w:val="Normal"/>
        <w:numPr>
          <w:ilvl w:val="1"/>
          <w:numId w:val="17"/>
        </w:numPr>
        <w:ind w:left="567" w:hanging="567"/>
        <w:jc w:val="both"/>
        <w:rPr>
          <w:sz w:val="23"/>
          <w:szCs w:val="23"/>
        </w:rPr>
      </w:pPr>
      <w:r>
        <w:rPr>
          <w:sz w:val="23"/>
          <w:szCs w:val="23"/>
          <w:lang w:val="fi-FI" w:eastAsia="fi-FI"/>
        </w:rPr>
        <w:t>Piegādātāj</w:t>
      </w:r>
      <w:r>
        <w:rPr>
          <w:sz w:val="23"/>
          <w:szCs w:val="23"/>
        </w:rPr>
        <w:t xml:space="preserve">a e-pasta adrese, uz kuru var tikt nosūtīts pieteikums par nepieciešamību veikt </w:t>
      </w:r>
      <w:r>
        <w:rPr>
          <w:sz w:val="23"/>
          <w:szCs w:val="23"/>
          <w:lang w:val="fi-FI" w:eastAsia="fi-FI"/>
        </w:rPr>
        <w:t>Transportlīdzekļa</w:t>
      </w:r>
      <w:r>
        <w:rPr>
          <w:sz w:val="23"/>
          <w:szCs w:val="23"/>
        </w:rPr>
        <w:t xml:space="preserve"> remontu vai tehnisko apko</w:t>
      </w:r>
      <w:r>
        <w:rPr>
          <w:color w:val="auto"/>
          <w:sz w:val="23"/>
          <w:szCs w:val="23"/>
        </w:rPr>
        <w:t>pi:</w:t>
      </w:r>
      <w:r>
        <w:rPr>
          <w:color w:val="auto"/>
          <w:sz w:val="23"/>
          <w:szCs w:val="23"/>
          <w:u w:val="none"/>
        </w:rPr>
        <w:t xml:space="preserve"> </w:t>
      </w:r>
      <w:hyperlink r:id="rId7">
        <w:r>
          <w:rPr>
            <w:rStyle w:val="InternetLink"/>
            <w:color w:val="auto"/>
            <w:sz w:val="23"/>
            <w:szCs w:val="23"/>
            <w:u w:val="none"/>
          </w:rPr>
          <w:t>________________________________</w:t>
        </w:r>
      </w:hyperlink>
      <w:r>
        <w:rPr>
          <w:color w:val="auto"/>
          <w:sz w:val="23"/>
          <w:szCs w:val="23"/>
          <w:u w:val="none"/>
        </w:rPr>
        <w:t>.</w:t>
      </w:r>
    </w:p>
    <w:p>
      <w:pPr>
        <w:pStyle w:val="ListParagraph"/>
        <w:numPr>
          <w:ilvl w:val="1"/>
          <w:numId w:val="17"/>
        </w:numPr>
        <w:ind w:left="567" w:hanging="567"/>
        <w:jc w:val="both"/>
        <w:rPr>
          <w:sz w:val="23"/>
          <w:szCs w:val="23"/>
        </w:rPr>
      </w:pPr>
      <w:r>
        <w:rPr>
          <w:sz w:val="23"/>
          <w:szCs w:val="23"/>
        </w:rPr>
        <w:t>Puses vienojas, ka otras Puses iesniegtie personas dati, kas nepieciešami Līguma izpildei, tiks apstrādāti tikai Līguma saistību izpildes nodrošināšanai.</w:t>
      </w:r>
    </w:p>
    <w:p>
      <w:pPr>
        <w:pStyle w:val="Normal"/>
        <w:numPr>
          <w:ilvl w:val="1"/>
          <w:numId w:val="17"/>
        </w:numPr>
        <w:ind w:left="567" w:hanging="567"/>
        <w:jc w:val="both"/>
        <w:rPr>
          <w:sz w:val="23"/>
          <w:szCs w:val="23"/>
        </w:rPr>
      </w:pPr>
      <w:r>
        <w:rPr>
          <w:sz w:val="23"/>
          <w:szCs w:val="23"/>
          <w:lang w:eastAsia="fi-FI"/>
        </w:rPr>
        <w:t>Līgums ir sagatavots un parakstīts elektroniski uz __ (_______) lapām ar Pielikumu Nr.1 uz __ (____) lapām, Pielikumu Nr.2 uz __ (_______) lapas un Pielikumu Nr.3 uz __ (_______) lapām.</w:t>
      </w:r>
    </w:p>
    <w:p>
      <w:pPr>
        <w:pStyle w:val="Normal"/>
        <w:jc w:val="both"/>
        <w:rPr>
          <w:b/>
          <w:bCs/>
          <w:sz w:val="24"/>
          <w:szCs w:val="24"/>
        </w:rPr>
      </w:pPr>
      <w:r>
        <w:rPr>
          <w:b/>
          <w:bCs/>
          <w:sz w:val="24"/>
          <w:szCs w:val="24"/>
        </w:rPr>
      </w:r>
    </w:p>
    <w:p>
      <w:pPr>
        <w:pStyle w:val="Normal"/>
        <w:jc w:val="both"/>
        <w:rPr>
          <w:b/>
          <w:bCs/>
          <w:sz w:val="24"/>
          <w:szCs w:val="24"/>
        </w:rPr>
      </w:pPr>
      <w:r>
        <w:rPr>
          <w:b/>
          <w:bCs/>
          <w:sz w:val="24"/>
          <w:szCs w:val="24"/>
        </w:rPr>
        <w:t>Pielikumi:</w:t>
      </w:r>
    </w:p>
    <w:p>
      <w:pPr>
        <w:pStyle w:val="Normal"/>
        <w:jc w:val="both"/>
        <w:rPr>
          <w:b/>
          <w:bCs/>
          <w:sz w:val="24"/>
          <w:szCs w:val="24"/>
        </w:rPr>
      </w:pPr>
      <w:r>
        <w:rPr>
          <w:b/>
          <w:bCs/>
          <w:sz w:val="24"/>
          <w:szCs w:val="24"/>
        </w:rPr>
        <w:t>1. Iepirkuma procedūras "Transportlīdzekļa iegāde" DE 2024/10  Piegādātāja piedāvātā Tehniskā specifikācija;</w:t>
      </w:r>
    </w:p>
    <w:p>
      <w:pPr>
        <w:pStyle w:val="Normal"/>
        <w:jc w:val="both"/>
        <w:rPr>
          <w:b/>
          <w:bCs/>
          <w:sz w:val="24"/>
          <w:szCs w:val="24"/>
        </w:rPr>
      </w:pPr>
      <w:r>
        <w:rPr>
          <w:b/>
          <w:bCs/>
          <w:sz w:val="24"/>
          <w:szCs w:val="24"/>
        </w:rPr>
        <w:t>2. Iepirkuma procedūras "Transportlīdzekļa iegāde" DE 2024/10  Piegādātāja piedāvātais Finanšu piedāvajums;</w:t>
      </w:r>
    </w:p>
    <w:p>
      <w:pPr>
        <w:pStyle w:val="Normal"/>
        <w:jc w:val="both"/>
        <w:rPr>
          <w:b/>
          <w:bCs/>
          <w:sz w:val="24"/>
          <w:szCs w:val="24"/>
        </w:rPr>
      </w:pPr>
      <w:r>
        <w:rPr>
          <w:b/>
          <w:bCs/>
          <w:sz w:val="24"/>
          <w:szCs w:val="24"/>
        </w:rPr>
        <w:t>3.Garantijas noteikumi.</w:t>
      </w:r>
    </w:p>
    <w:p>
      <w:pPr>
        <w:pStyle w:val="Normal"/>
        <w:tabs>
          <w:tab w:val="clear" w:pos="706"/>
          <w:tab w:val="left" w:pos="1320" w:leader="none"/>
        </w:tabs>
        <w:ind w:left="567" w:hanging="567"/>
        <w:jc w:val="center"/>
        <w:rPr>
          <w:b/>
          <w:sz w:val="23"/>
          <w:szCs w:val="23"/>
        </w:rPr>
      </w:pPr>
      <w:r>
        <w:rPr>
          <w:b/>
          <w:sz w:val="23"/>
          <w:szCs w:val="23"/>
        </w:rPr>
      </w:r>
    </w:p>
    <w:p>
      <w:pPr>
        <w:pStyle w:val="Normal"/>
        <w:tabs>
          <w:tab w:val="clear" w:pos="706"/>
          <w:tab w:val="left" w:pos="1320" w:leader="none"/>
        </w:tabs>
        <w:ind w:left="567" w:hanging="567"/>
        <w:jc w:val="center"/>
        <w:rPr>
          <w:b/>
          <w:sz w:val="23"/>
          <w:szCs w:val="23"/>
        </w:rPr>
      </w:pPr>
      <w:r>
        <w:rPr>
          <w:b/>
          <w:sz w:val="23"/>
          <w:szCs w:val="23"/>
        </w:rPr>
      </w:r>
    </w:p>
    <w:p>
      <w:pPr>
        <w:pStyle w:val="Normal"/>
        <w:tabs>
          <w:tab w:val="clear" w:pos="706"/>
          <w:tab w:val="left" w:pos="1320" w:leader="none"/>
        </w:tabs>
        <w:ind w:left="567" w:hanging="567"/>
        <w:jc w:val="center"/>
        <w:rPr>
          <w:b/>
          <w:sz w:val="23"/>
          <w:szCs w:val="23"/>
        </w:rPr>
      </w:pPr>
      <w:r>
        <w:rPr>
          <w:rFonts w:cs="Times New Roman"/>
          <w:b/>
          <w:bCs/>
          <w:sz w:val="23"/>
          <w:szCs w:val="23"/>
          <w:lang w:val="lv-LV"/>
        </w:rPr>
        <w:t>XI Pušu rekvizīti</w:t>
      </w:r>
    </w:p>
    <w:p>
      <w:pPr>
        <w:pStyle w:val="Normal"/>
        <w:tabs>
          <w:tab w:val="clear" w:pos="706"/>
          <w:tab w:val="left" w:pos="1320" w:leader="none"/>
        </w:tabs>
        <w:ind w:left="567" w:hanging="567"/>
        <w:jc w:val="center"/>
        <w:rPr>
          <w:b/>
          <w:sz w:val="23"/>
          <w:szCs w:val="23"/>
        </w:rPr>
      </w:pPr>
      <w:r>
        <w:rPr>
          <w:b/>
          <w:sz w:val="23"/>
          <w:szCs w:val="23"/>
        </w:rPr>
      </w:r>
    </w:p>
    <w:tbl>
      <w:tblPr>
        <w:tblW w:w="9421" w:type="dxa"/>
        <w:jc w:val="left"/>
        <w:tblInd w:w="0" w:type="dxa"/>
        <w:tblLayout w:type="fixed"/>
        <w:tblCellMar>
          <w:top w:w="0" w:type="dxa"/>
          <w:left w:w="108" w:type="dxa"/>
          <w:bottom w:w="0" w:type="dxa"/>
          <w:right w:w="108" w:type="dxa"/>
        </w:tblCellMar>
      </w:tblPr>
      <w:tblGrid>
        <w:gridCol w:w="4229"/>
        <w:gridCol w:w="682"/>
        <w:gridCol w:w="4510"/>
      </w:tblGrid>
      <w:tr>
        <w:trPr>
          <w:trHeight w:val="409" w:hRule="atLeast"/>
        </w:trPr>
        <w:tc>
          <w:tcPr>
            <w:tcW w:w="4229" w:type="dxa"/>
            <w:tcBorders/>
            <w:shd w:fill="FFFFFF" w:val="clear"/>
          </w:tcPr>
          <w:p>
            <w:pPr>
              <w:pStyle w:val="Normal"/>
              <w:widowControl w:val="false"/>
              <w:tabs>
                <w:tab w:val="clear" w:pos="706"/>
                <w:tab w:val="left" w:pos="6237" w:leader="none"/>
              </w:tabs>
              <w:bidi w:val="0"/>
              <w:spacing w:before="0" w:after="160"/>
              <w:jc w:val="left"/>
              <w:rPr>
                <w:b/>
                <w:bCs/>
              </w:rPr>
            </w:pPr>
            <w:r>
              <w:rPr>
                <w:b/>
                <w:bCs/>
              </w:rPr>
              <w:t>PASŪTĪTĀJS:</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b/>
                <w:bCs/>
              </w:rPr>
            </w:pPr>
            <w:r>
              <w:rPr>
                <w:b/>
                <w:bCs/>
              </w:rPr>
            </w:r>
          </w:p>
        </w:tc>
        <w:tc>
          <w:tcPr>
            <w:tcW w:w="4510" w:type="dxa"/>
            <w:tcBorders/>
            <w:shd w:fill="FFFFFF" w:val="clear"/>
          </w:tcPr>
          <w:p>
            <w:pPr>
              <w:pStyle w:val="Normal"/>
              <w:widowControl w:val="false"/>
              <w:tabs>
                <w:tab w:val="clear" w:pos="706"/>
                <w:tab w:val="left" w:pos="6237" w:leader="none"/>
              </w:tabs>
              <w:bidi w:val="0"/>
              <w:spacing w:before="0" w:after="160"/>
              <w:jc w:val="left"/>
              <w:rPr>
                <w:b/>
                <w:bCs/>
              </w:rPr>
            </w:pPr>
            <w:r>
              <w:rPr>
                <w:b/>
                <w:bCs/>
              </w:rPr>
              <w:t>PIEGĀDĀTĀJS:</w:t>
            </w:r>
          </w:p>
        </w:tc>
      </w:tr>
      <w:tr>
        <w:trPr>
          <w:trHeight w:val="505" w:hRule="atLeast"/>
        </w:trPr>
        <w:tc>
          <w:tcPr>
            <w:tcW w:w="4229" w:type="dxa"/>
            <w:tcBorders/>
            <w:shd w:fill="FFFFFF" w:val="clear"/>
          </w:tcPr>
          <w:p>
            <w:pPr>
              <w:pStyle w:val="Normal"/>
              <w:widowControl w:val="false"/>
              <w:bidi w:val="0"/>
              <w:jc w:val="left"/>
              <w:rPr>
                <w:b/>
              </w:rPr>
            </w:pPr>
            <w:r>
              <w:rPr>
                <w:b/>
              </w:rPr>
              <w:t>SIA “Dobeles enerģija”</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b/>
              </w:rPr>
            </w:pPr>
            <w:r>
              <w:rPr>
                <w:b/>
              </w:rPr>
            </w:r>
          </w:p>
        </w:tc>
        <w:tc>
          <w:tcPr>
            <w:tcW w:w="4510" w:type="dxa"/>
            <w:tcBorders/>
            <w:shd w:fill="FFFFFF" w:val="clear"/>
          </w:tcPr>
          <w:p>
            <w:pPr>
              <w:pStyle w:val="Normal"/>
              <w:widowControl w:val="false"/>
              <w:bidi w:val="0"/>
              <w:jc w:val="left"/>
              <w:rPr>
                <w:b/>
              </w:rPr>
            </w:pPr>
            <w:r>
              <w:rPr>
                <w:b/>
              </w:rPr>
            </w:r>
          </w:p>
        </w:tc>
      </w:tr>
      <w:tr>
        <w:trPr>
          <w:trHeight w:val="409" w:hRule="atLeast"/>
        </w:trPr>
        <w:tc>
          <w:tcPr>
            <w:tcW w:w="4229" w:type="dxa"/>
            <w:tcBorders/>
            <w:shd w:fill="FFFFFF" w:val="clear"/>
          </w:tcPr>
          <w:p>
            <w:pPr>
              <w:pStyle w:val="Normal"/>
              <w:widowControl w:val="false"/>
              <w:bidi w:val="0"/>
              <w:jc w:val="left"/>
              <w:rPr/>
            </w:pPr>
            <w:r>
              <w:rPr/>
              <w:t>Reģ. Nr.: 45103002039</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pPr>
            <w:r>
              <w:rPr/>
            </w:r>
          </w:p>
        </w:tc>
      </w:tr>
      <w:tr>
        <w:trPr>
          <w:trHeight w:val="521" w:hRule="atLeast"/>
        </w:trPr>
        <w:tc>
          <w:tcPr>
            <w:tcW w:w="4229" w:type="dxa"/>
            <w:tcBorders/>
            <w:shd w:fill="FFFFFF" w:val="clear"/>
          </w:tcPr>
          <w:p>
            <w:pPr>
              <w:pStyle w:val="Normal"/>
              <w:widowControl w:val="false"/>
              <w:shd w:val="clear" w:fill="FFFFFF"/>
              <w:bidi w:val="0"/>
              <w:jc w:val="left"/>
              <w:rPr/>
            </w:pPr>
            <w:r>
              <w:rPr/>
              <w:t>Juridiskā adrese: Spodrības iela 4a, Dobele, Dobeles nov., LV-3701</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rFonts w:cs="Times New Roman"/>
              </w:rPr>
            </w:pPr>
            <w:r>
              <w:rPr>
                <w:rFonts w:cs="Times New Roman"/>
              </w:rPr>
            </w:r>
          </w:p>
        </w:tc>
      </w:tr>
      <w:tr>
        <w:trPr>
          <w:trHeight w:val="906" w:hRule="atLeast"/>
        </w:trPr>
        <w:tc>
          <w:tcPr>
            <w:tcW w:w="4229" w:type="dxa"/>
            <w:tcBorders/>
            <w:shd w:fill="FFFFFF" w:val="clear"/>
          </w:tcPr>
          <w:p>
            <w:pPr>
              <w:pStyle w:val="Normal"/>
              <w:widowControl w:val="false"/>
              <w:bidi w:val="0"/>
              <w:jc w:val="left"/>
              <w:rPr/>
            </w:pPr>
            <w:r>
              <w:rPr/>
              <w:t>Konta Nr.:LV13UNLA0006000206201</w:t>
            </w:r>
          </w:p>
          <w:p>
            <w:pPr>
              <w:pStyle w:val="Normal"/>
              <w:widowControl w:val="false"/>
              <w:bidi w:val="0"/>
              <w:jc w:val="left"/>
              <w:rPr/>
            </w:pPr>
            <w:r>
              <w:rPr/>
              <w:t>Banka: SEB Banka</w:t>
            </w:r>
          </w:p>
          <w:p>
            <w:pPr>
              <w:pStyle w:val="Normal"/>
              <w:widowControl w:val="false"/>
              <w:bidi w:val="0"/>
              <w:jc w:val="left"/>
              <w:rPr/>
            </w:pPr>
            <w:r>
              <w:rPr/>
              <w:t>Bankas kods UNLALV2X</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pPr>
            <w:r>
              <w:rPr/>
            </w:r>
          </w:p>
        </w:tc>
      </w:tr>
      <w:tr>
        <w:trPr>
          <w:trHeight w:val="570" w:hRule="atLeast"/>
        </w:trPr>
        <w:tc>
          <w:tcPr>
            <w:tcW w:w="4229" w:type="dxa"/>
            <w:tcBorders/>
            <w:shd w:fill="FFFFFF" w:val="clear"/>
          </w:tcPr>
          <w:p>
            <w:pPr>
              <w:pStyle w:val="Normal"/>
              <w:widowControl w:val="false"/>
              <w:bidi w:val="0"/>
              <w:jc w:val="left"/>
              <w:rPr/>
            </w:pPr>
            <w:r>
              <w:rPr/>
              <w:t>_____________________</w:t>
            </w:r>
          </w:p>
          <w:p>
            <w:pPr>
              <w:pStyle w:val="Normal"/>
              <w:widowControl w:val="false"/>
              <w:bidi w:val="0"/>
              <w:jc w:val="left"/>
              <w:rPr/>
            </w:pPr>
            <w:r>
              <w:rPr/>
              <w:t>Ģ.Ozoliņš</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pPr>
            <w:r>
              <w:rPr/>
              <w:t>_____________________</w:t>
            </w:r>
          </w:p>
        </w:tc>
      </w:tr>
    </w:tbl>
    <w:p>
      <w:pPr>
        <w:pStyle w:val="Normal"/>
        <w:rPr/>
      </w:pPr>
      <w:r>
        <w:rPr/>
      </w:r>
    </w:p>
    <w:sectPr>
      <w:footerReference w:type="default" r:id="rId8"/>
      <w:type w:val="nextPage"/>
      <w:pgSz w:w="11906" w:h="16838"/>
      <w:pgMar w:left="1134" w:right="1127"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OpenSymbol">
    <w:altName w:val="Arial Unicode MS"/>
    <w:charset w:val="00"/>
    <w:family w:val="roman"/>
    <w:pitch w:val="variable"/>
  </w:font>
  <w:font w:name="Arial">
    <w:charset w:val="00"/>
    <w:family w:val="roman"/>
    <w:pitch w:val="variable"/>
  </w:font>
  <w:font w:name="Arial Unicode MS">
    <w:altName w:val="Arial"/>
    <w:charset w:val="00"/>
    <w:family w:val="roman"/>
    <w:pitch w:val="variable"/>
  </w:font>
  <w:font w:name="Dutch TL">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b/>
        <w:bCs/>
      </w:rPr>
    </w:lvl>
    <w:lvl w:ilvl="1">
      <w:start w:val="1"/>
      <w:numFmt w:val="decimal"/>
      <w:lvlText w:val="%1.%2."/>
      <w:lvlJc w:val="left"/>
      <w:pPr>
        <w:tabs>
          <w:tab w:val="num" w:pos="720"/>
        </w:tabs>
        <w:ind w:left="858" w:hanging="432"/>
      </w:pPr>
      <w:rPr>
        <w:smallCaps w:val="false"/>
        <w:caps w:val="false"/>
        <w:dstrike w:val="false"/>
        <w:strike w:val="false"/>
        <w:vertAlign w:val="baseline"/>
        <w:position w:val="0"/>
        <w:sz w:val="24"/>
        <w:sz w:val="24"/>
        <w:b w:val="false"/>
        <w:szCs w:val="22"/>
        <w:bCs/>
        <w:vanish w:val="false"/>
        <w:rFonts w:ascii="Times New Roman" w:hAnsi="Times New Roman"/>
        <w:color w:val="000000"/>
        <w:lang w:val="lv-LV"/>
      </w:rPr>
    </w:lvl>
    <w:lvl w:ilvl="2">
      <w:start w:val="1"/>
      <w:numFmt w:val="decimal"/>
      <w:lvlText w:val="%1.%2.%3."/>
      <w:lvlJc w:val="left"/>
      <w:pPr>
        <w:tabs>
          <w:tab w:val="num" w:pos="0"/>
        </w:tabs>
        <w:ind w:left="1781"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360" w:hanging="360"/>
      </w:pPr>
      <w:rPr>
        <w:b/>
        <w:bCs/>
        <w:lang w:val="lv-LV"/>
      </w:rPr>
    </w:lvl>
    <w:lvl w:ilvl="1">
      <w:start w:val="1"/>
      <w:numFmt w:val="decimal"/>
      <w:lvlText w:val="%1.%2."/>
      <w:lvlJc w:val="left"/>
      <w:pPr>
        <w:tabs>
          <w:tab w:val="num" w:pos="0"/>
        </w:tabs>
        <w:ind w:left="858" w:hanging="432"/>
      </w:pPr>
      <w:rPr>
        <w:smallCaps w:val="false"/>
        <w:caps w:val="false"/>
        <w:dstrike w:val="false"/>
        <w:strike w:val="false"/>
        <w:vertAlign w:val="baseline"/>
        <w:position w:val="0"/>
        <w:sz w:val="24"/>
        <w:sz w:val="24"/>
        <w:b w:val="false"/>
        <w:bCs/>
        <w:vanish w:val="false"/>
        <w:color w:val="000000"/>
      </w:rPr>
    </w:lvl>
    <w:lvl w:ilvl="2">
      <w:start w:val="1"/>
      <w:numFmt w:val="decimal"/>
      <w:lvlText w:val="%1.%2.%3."/>
      <w:lvlJc w:val="left"/>
      <w:pPr>
        <w:tabs>
          <w:tab w:val="num" w:pos="0"/>
        </w:tabs>
        <w:ind w:left="1781" w:hanging="504"/>
      </w:pPr>
      <w:rPr>
        <w:sz w:val="24"/>
        <w:szCs w:val="24"/>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420" w:hanging="420"/>
      </w:pPr>
      <w:rPr/>
    </w:lvl>
    <w:lvl w:ilvl="1">
      <w:start w:val="1"/>
      <w:numFmt w:val="decimal"/>
      <w:lvlText w:val="%1.%2."/>
      <w:lvlJc w:val="left"/>
      <w:pPr>
        <w:tabs>
          <w:tab w:val="num" w:pos="0"/>
        </w:tabs>
        <w:ind w:left="562"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9">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3"/>
      <w:numFmt w:val="decimal"/>
      <w:lvlText w:val="%1."/>
      <w:lvlJc w:val="left"/>
      <w:pPr>
        <w:tabs>
          <w:tab w:val="num" w:pos="0"/>
        </w:tabs>
        <w:ind w:left="360" w:hanging="360"/>
      </w:pPr>
      <w:rPr/>
    </w:lvl>
    <w:lvl w:ilvl="1">
      <w:start w:val="1"/>
      <w:numFmt w:val="decimal"/>
      <w:lvlText w:val="%1.%2."/>
      <w:lvlJc w:val="left"/>
      <w:pPr>
        <w:tabs>
          <w:tab w:val="num" w:pos="0"/>
        </w:tabs>
        <w:ind w:left="720" w:hanging="360"/>
      </w:pPr>
      <w:rPr>
        <w:b w:val="false"/>
      </w:rPr>
    </w:lvl>
    <w:lvl w:ilvl="2">
      <w:start w:val="1"/>
      <w:numFmt w:val="decimal"/>
      <w:lvlText w:val="%1.%2.%3."/>
      <w:lvlJc w:val="left"/>
      <w:pPr>
        <w:tabs>
          <w:tab w:val="num" w:pos="0"/>
        </w:tabs>
        <w:ind w:left="1440" w:hanging="720"/>
      </w:pPr>
      <w:rPr>
        <w:b w:val="false"/>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11">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3">
    <w:lvl w:ilvl="0">
      <w:start w:val="6"/>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4">
    <w:lvl w:ilvl="0">
      <w:start w:val="7"/>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8"/>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9"/>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10"/>
      <w:numFmt w:val="decimal"/>
      <w:lvlText w:val="%1."/>
      <w:lvlJc w:val="left"/>
      <w:pPr>
        <w:tabs>
          <w:tab w:val="num" w:pos="0"/>
        </w:tabs>
        <w:ind w:left="480" w:hanging="480"/>
      </w:pPr>
      <w:rPr/>
    </w:lvl>
    <w:lvl w:ilvl="1">
      <w:start w:val="1"/>
      <w:numFmt w:val="decimal"/>
      <w:lvlText w:val="%1.%2."/>
      <w:lvlJc w:val="left"/>
      <w:pPr>
        <w:tabs>
          <w:tab w:val="num" w:pos="0"/>
        </w:tabs>
        <w:ind w:left="480" w:hanging="48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8">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25"/>
    <w:lvlOverride w:ilvl="0">
      <w:startOverride w:val="1"/>
    </w:lvlOverride>
    <w:lvlOverride w:ilvl="1">
      <w:startOverride w:val="1"/>
    </w:lvlOverride>
  </w:num>
  <w:num w:numId="32">
    <w:abstractNumId w:val="25"/>
  </w:num>
  <w:num w:numId="33">
    <w:abstractNumId w:val="25"/>
  </w:num>
  <w:num w:numId="34">
    <w:abstractNumId w:val="25"/>
  </w:num>
  <w:num w:numId="35">
    <w:abstractNumId w:val="25"/>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Cs w:val="24"/>
        <w:lang w:val="en-US" w:eastAsia="en-US" w:bidi="en-US"/>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 w:cs="Tahoma"/>
      <w:color w:val="00000A"/>
      <w:kern w:val="2"/>
      <w:sz w:val="24"/>
      <w:szCs w:val="24"/>
      <w:lang w:val="zxx" w:eastAsia="zxx" w:bidi="zxx"/>
    </w:rPr>
  </w:style>
  <w:style w:type="paragraph" w:styleId="Heading1">
    <w:name w:val="Heading 1"/>
    <w:basedOn w:val="Normal"/>
    <w:qFormat/>
    <w:pPr>
      <w:keepNext w:val="true"/>
      <w:numPr>
        <w:ilvl w:val="0"/>
        <w:numId w:val="1"/>
      </w:numPr>
      <w:jc w:val="center"/>
      <w:outlineLvl w:val="0"/>
    </w:pPr>
    <w:rPr>
      <w:sz w:val="28"/>
      <w:lang w:val="lv-LV"/>
    </w:rPr>
  </w:style>
  <w:style w:type="paragraph" w:styleId="Heading2">
    <w:name w:val="Heading 2"/>
    <w:basedOn w:val="Normal"/>
    <w:qFormat/>
    <w:pPr>
      <w:keepNext w:val="true"/>
      <w:numPr>
        <w:ilvl w:val="1"/>
        <w:numId w:val="1"/>
      </w:numPr>
      <w:jc w:val="right"/>
      <w:outlineLvl w:val="1"/>
    </w:pPr>
    <w:rPr>
      <w:b/>
      <w:bCs/>
      <w:lang w:val="lv-LV"/>
    </w:rPr>
  </w:style>
  <w:style w:type="paragraph" w:styleId="Heading3">
    <w:name w:val="Heading 3"/>
    <w:basedOn w:val="Normal"/>
    <w:qFormat/>
    <w:pPr>
      <w:keepNext w:val="true"/>
      <w:numPr>
        <w:ilvl w:val="2"/>
        <w:numId w:val="1"/>
      </w:numPr>
      <w:jc w:val="center"/>
      <w:outlineLvl w:val="2"/>
    </w:pPr>
    <w:rPr>
      <w:b/>
      <w:sz w:val="18"/>
      <w:u w:val="single"/>
    </w:rPr>
  </w:style>
  <w:style w:type="paragraph" w:styleId="Heading4">
    <w:name w:val="Heading 4"/>
    <w:basedOn w:val="Normal"/>
    <w:qFormat/>
    <w:pPr>
      <w:keepNext w:val="true"/>
      <w:numPr>
        <w:ilvl w:val="3"/>
        <w:numId w:val="1"/>
      </w:numPr>
      <w:jc w:val="center"/>
      <w:outlineLvl w:val="3"/>
    </w:pPr>
    <w:rPr>
      <w:i/>
    </w:rPr>
  </w:style>
  <w:style w:type="paragraph" w:styleId="Heading5">
    <w:name w:val="Heading 5"/>
    <w:basedOn w:val="Normal"/>
    <w:qFormat/>
    <w:pPr>
      <w:keepNext w:val="true"/>
      <w:numPr>
        <w:ilvl w:val="4"/>
        <w:numId w:val="1"/>
      </w:numPr>
      <w:jc w:val="center"/>
      <w:outlineLvl w:val="4"/>
    </w:pPr>
    <w:rPr>
      <w:b/>
      <w:lang w:val="lv-LV"/>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ntStyle88">
    <w:name w:val="Font Style88"/>
    <w:qFormat/>
    <w:rPr>
      <w:rFonts w:ascii="Arial Narrow" w:hAnsi="Arial Narrow" w:cs="Arial Narrow"/>
      <w:sz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BodyText3">
    <w:name w:val="Body Text 3"/>
    <w:basedOn w:val="Normal"/>
    <w:qFormat/>
    <w:pPr>
      <w:spacing w:before="0" w:after="120"/>
    </w:pPr>
    <w:rPr>
      <w:rFonts w:eastAsia="Calibri"/>
      <w:b/>
      <w:sz w:val="16"/>
      <w:szCs w:val="16"/>
      <w:lang w:val="lv-LV"/>
    </w:rPr>
  </w:style>
  <w:style w:type="paragraph" w:styleId="Subtitle">
    <w:name w:val="Subtitle"/>
    <w:basedOn w:val="Normal"/>
    <w:qFormat/>
    <w:pPr>
      <w:jc w:val="center"/>
    </w:pPr>
    <w:rPr>
      <w:rFonts w:eastAsia="Calibri"/>
      <w:b/>
      <w:sz w:val="20"/>
      <w:szCs w:val="20"/>
      <w:lang w:val="fr-BE"/>
    </w:rPr>
  </w:style>
  <w:style w:type="paragraph" w:styleId="ListParagraph">
    <w:name w:val="List Paragraph"/>
    <w:basedOn w:val="Normal"/>
    <w:qFormat/>
    <w:pPr>
      <w:jc w:val="both"/>
    </w:pPr>
    <w:rPr>
      <w:rFonts w:eastAsia="Calibri"/>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BodyTextIndent2">
    <w:name w:val="Body Text Indent 2"/>
    <w:basedOn w:val="Normal"/>
    <w:qFormat/>
    <w:pPr>
      <w:ind w:firstLine="720"/>
    </w:pPr>
    <w:rPr>
      <w:lang w:val="lv-LV"/>
    </w:rPr>
  </w:style>
  <w:style w:type="paragraph" w:styleId="FrameContents">
    <w:name w:val="Frame Contents"/>
    <w:basedOn w:val="Normal"/>
    <w:qFormat/>
    <w:pPr/>
    <w:rPr/>
  </w:style>
  <w:style w:type="paragraph" w:styleId="HeaderandFooter">
    <w:name w:val="Header and Footer"/>
    <w:basedOn w:val="Normal"/>
    <w:qFormat/>
    <w:pPr/>
    <w:rPr/>
  </w:style>
  <w:style w:type="paragraph" w:styleId="Footer">
    <w:name w:val="Footer"/>
    <w:basedOn w:val="Normal"/>
    <w:pPr>
      <w:suppressLineNumbers/>
      <w:tabs>
        <w:tab w:val="clear" w:pos="706"/>
        <w:tab w:val="center" w:pos="4819" w:leader="none"/>
        <w:tab w:val="right" w:pos="9638" w:leader="none"/>
      </w:tabs>
    </w:pPr>
    <w:rPr/>
  </w:style>
  <w:style w:type="paragraph" w:styleId="Header">
    <w:name w:val="Header"/>
    <w:basedOn w:val="Normal"/>
    <w:pPr>
      <w:tabs>
        <w:tab w:val="clear" w:pos="706"/>
        <w:tab w:val="center" w:pos="4153" w:leader="none"/>
        <w:tab w:val="right" w:pos="8306" w:leader="none"/>
      </w:tabs>
    </w:pPr>
    <w:rPr>
      <w:rFonts w:ascii="Dutch TL;Times New Roman" w:hAnsi="Dutch TL;Times New Roman" w:cs="Dutch TL;Times New Roman"/>
      <w:sz w:val="20"/>
      <w:szCs w:val="20"/>
    </w:rPr>
  </w:style>
  <w:style w:type="paragraph" w:styleId="TableHeading">
    <w:name w:val="Table Heading"/>
    <w:basedOn w:val="TableContents"/>
    <w:qFormat/>
    <w:pPr>
      <w:suppressLineNumbers/>
      <w:jc w:val="center"/>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ivars.stokenbergs@dobelesenergija.lv" TargetMode="External"/><Relationship Id="rId3" Type="http://schemas.openxmlformats.org/officeDocument/2006/relationships/hyperlink" Target="http://www.eis.gov.lv/" TargetMode="External"/><Relationship Id="rId4" Type="http://schemas.openxmlformats.org/officeDocument/2006/relationships/hyperlink" Target="https://www6.vid.gov.lv/" TargetMode="External"/><Relationship Id="rId5" Type="http://schemas.openxmlformats.org/officeDocument/2006/relationships/hyperlink" Target="https://sankcijas.fid.gov.lv/" TargetMode="External"/><Relationship Id="rId6" Type="http://schemas.openxmlformats.org/officeDocument/2006/relationships/hyperlink" Target="https://www.treasury.gov/resource-center/sanctions/SDN-List/Pages/consolidated.aspx" TargetMode="External"/><Relationship Id="rId7" Type="http://schemas.openxmlformats.org/officeDocument/2006/relationships/hyperlink" Target="mailto:olegs.aleksejevs@mmg.lv"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1265</TotalTime>
  <Application>LibreOffice/7.5.3.2$Windows_X86_64 LibreOffice_project/9f56dff12ba03b9acd7730a5a481eea045e468f3</Application>
  <AppVersion>15.0000</AppVersion>
  <Pages>15</Pages>
  <Words>3789</Words>
  <Characters>26990</Characters>
  <CharactersWithSpaces>30352</CharactersWithSpaces>
  <Paragraphs>428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lv-LV</dc:language>
  <cp:lastModifiedBy/>
  <cp:lastPrinted>2024-08-07T09:25:01Z</cp:lastPrinted>
  <dcterms:modified xsi:type="dcterms:W3CDTF">2024-08-07T09:25:03Z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