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2"/>
          <w:szCs w:val="22"/>
        </w:rPr>
      </w:pPr>
      <w:r>
        <w:rPr>
          <w:sz w:val="22"/>
          <w:szCs w:val="22"/>
        </w:rPr>
        <w:t>Iepirkuma ID Nr.</w:t>
      </w:r>
      <w:r>
        <w:rPr>
          <w:sz w:val="22"/>
          <w:szCs w:val="22"/>
          <w:lang w:eastAsia="en-US"/>
        </w:rPr>
        <w:t>DE 2023/8</w:t>
      </w:r>
    </w:p>
    <w:p>
      <w:pPr>
        <w:pStyle w:val="Normal"/>
        <w:jc w:val="right"/>
        <w:rPr>
          <w:b/>
          <w:sz w:val="22"/>
          <w:szCs w:val="22"/>
        </w:rPr>
      </w:pPr>
      <w:r>
        <w:rPr>
          <w:b/>
          <w:sz w:val="22"/>
          <w:szCs w:val="22"/>
        </w:rPr>
        <w:t xml:space="preserve"> </w:t>
      </w:r>
      <w:r>
        <w:rPr>
          <w:sz w:val="22"/>
          <w:szCs w:val="22"/>
        </w:rPr>
        <w:t xml:space="preserve">Nolikuma </w:t>
      </w:r>
      <w:r>
        <w:rPr>
          <w:b/>
          <w:sz w:val="22"/>
          <w:szCs w:val="22"/>
        </w:rPr>
        <w:t>2.</w:t>
      </w:r>
      <w:r>
        <w:rPr>
          <w:sz w:val="22"/>
          <w:szCs w:val="22"/>
        </w:rPr>
        <w:t xml:space="preserve"> </w:t>
      </w:r>
      <w:r>
        <w:rPr>
          <w:b/>
          <w:sz w:val="22"/>
          <w:szCs w:val="22"/>
        </w:rPr>
        <w:t>pielikums</w:t>
      </w:r>
    </w:p>
    <w:p>
      <w:pPr>
        <w:pStyle w:val="Normal"/>
        <w:spacing w:lineRule="auto" w:line="240"/>
        <w:rPr>
          <w:b/>
          <w:lang w:eastAsia="lv-LV"/>
        </w:rPr>
      </w:pPr>
      <w:r>
        <w:rPr>
          <w:b/>
          <w:lang w:eastAsia="lv-LV"/>
        </w:rPr>
      </w:r>
    </w:p>
    <w:p>
      <w:pPr>
        <w:pStyle w:val="Normal"/>
        <w:spacing w:lineRule="auto" w:line="240"/>
        <w:ind w:left="567" w:hanging="0"/>
        <w:jc w:val="center"/>
        <w:rPr>
          <w:b/>
          <w:lang w:eastAsia="lv-LV"/>
        </w:rPr>
      </w:pPr>
      <w:r>
        <w:rPr>
          <w:b/>
          <w:lang w:eastAsia="lv-LV"/>
        </w:rPr>
        <w:t>TEHNISKĀ SPECIFIKĀCIJA</w:t>
      </w:r>
    </w:p>
    <w:p>
      <w:pPr>
        <w:pStyle w:val="Normal"/>
        <w:widowControl w:val="false"/>
        <w:spacing w:lineRule="auto" w:line="240" w:before="0" w:after="0"/>
        <w:ind w:left="993" w:hanging="709"/>
        <w:jc w:val="center"/>
        <w:rPr>
          <w:sz w:val="32"/>
          <w:szCs w:val="32"/>
        </w:rPr>
      </w:pPr>
      <w:r>
        <w:rPr>
          <w:rFonts w:eastAsia="Times New Roman" w:cs="Times New Roman"/>
          <w:b/>
          <w:bCs/>
          <w:i/>
          <w:sz w:val="32"/>
          <w:szCs w:val="32"/>
          <w:lang w:eastAsia="lv-LV" w:bidi="lo-LA"/>
        </w:rPr>
        <w:t>K</w:t>
      </w:r>
      <w:r>
        <w:rPr>
          <w:rFonts w:eastAsia="Calibri" w:cs="Times New Roman"/>
          <w:b/>
          <w:bCs/>
          <w:i/>
          <w:iCs/>
          <w:color w:val="000000"/>
          <w:kern w:val="0"/>
          <w:sz w:val="32"/>
          <w:szCs w:val="32"/>
          <w:shd w:fill="auto" w:val="clear"/>
          <w:lang w:val="lv-LV" w:eastAsia="en-US" w:bidi="ar-SA"/>
        </w:rPr>
        <w:t>atlu mājas “Līdumi” siltumtrases remontdarbi</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b/>
          <w:bCs/>
          <w:i/>
          <w:sz w:val="22"/>
          <w:szCs w:val="22"/>
          <w:lang w:eastAsia="lv-LV" w:bidi="lo-LA"/>
        </w:rPr>
        <w:t xml:space="preserve"> </w:t>
      </w:r>
      <w:r>
        <w:rPr>
          <w:rFonts w:eastAsia="Times New Roman" w:cs="Times New Roman"/>
          <w:b/>
          <w:bCs/>
          <w:i/>
          <w:sz w:val="22"/>
          <w:szCs w:val="22"/>
          <w:lang w:eastAsia="lv-LV" w:bidi="lo-LA"/>
        </w:rPr>
        <w:t xml:space="preserve">identifikācijas Nr. </w:t>
      </w:r>
      <w:bookmarkStart w:id="0" w:name="_Hlk35518079"/>
      <w:bookmarkEnd w:id="0"/>
      <w:r>
        <w:rPr>
          <w:rFonts w:eastAsia="Times New Roman" w:cs="Times New Roman"/>
          <w:b/>
          <w:bCs/>
          <w:i/>
          <w:sz w:val="22"/>
          <w:szCs w:val="22"/>
          <w:lang w:eastAsia="lv-LV" w:bidi="lo-LA"/>
        </w:rPr>
        <w:t>DE 2024/7</w:t>
      </w:r>
    </w:p>
    <w:p>
      <w:pPr>
        <w:pStyle w:val="Normal"/>
        <w:spacing w:lineRule="auto" w:line="240" w:before="0" w:after="0"/>
        <w:jc w:val="center"/>
        <w:rPr>
          <w:rFonts w:ascii="Times New Roman" w:hAnsi="Times New Roman" w:eastAsia="Times New Roman" w:cs="Times New Roman"/>
          <w:b/>
          <w:bCs/>
          <w:i/>
          <w:i/>
          <w:lang w:eastAsia="lv-LV" w:bidi="lo-LA"/>
        </w:rPr>
      </w:pPr>
      <w:r>
        <w:rPr>
          <w:rFonts w:eastAsia="Times New Roman" w:cs="Times New Roman"/>
          <w:b/>
          <w:bCs/>
          <w:i/>
          <w:lang w:eastAsia="lv-LV" w:bidi="lo-LA"/>
        </w:rPr>
      </w:r>
    </w:p>
    <w:p>
      <w:pPr>
        <w:pStyle w:val="Normal"/>
        <w:ind w:right="-5" w:hanging="0"/>
        <w:rPr>
          <w:u w:val="single"/>
        </w:rPr>
      </w:pPr>
      <w:r>
        <w:rPr>
          <w:b/>
          <w:u w:val="single"/>
        </w:rPr>
        <w:t>1. Darba uzdevums</w:t>
      </w:r>
    </w:p>
    <w:p>
      <w:pPr>
        <w:pStyle w:val="Normal"/>
        <w:ind w:right="-5" w:hanging="0"/>
        <w:jc w:val="both"/>
        <w:rPr>
          <w:b/>
          <w:sz w:val="10"/>
          <w:u w:val="single"/>
        </w:rPr>
      </w:pPr>
      <w:r>
        <w:rPr>
          <w:b/>
          <w:sz w:val="10"/>
          <w:u w:val="single"/>
        </w:rPr>
      </w:r>
    </w:p>
    <w:p>
      <w:pPr>
        <w:pStyle w:val="Normal"/>
        <w:numPr>
          <w:ilvl w:val="1"/>
          <w:numId w:val="3"/>
        </w:numPr>
        <w:tabs>
          <w:tab w:val="clear" w:pos="720"/>
        </w:tabs>
        <w:spacing w:before="0" w:after="120"/>
        <w:ind w:left="426" w:hanging="426"/>
        <w:jc w:val="both"/>
        <w:rPr/>
      </w:pPr>
      <w:r>
        <w:rPr/>
        <w:t xml:space="preserve">Būvdarbu apjoms – esošās siltumtrases nomaiņa pret jaunu bezkanāla tipa siltumtrasi no rūpnieciski izolētiem cauruļvadiem Līdumu katlu mājas posmam, Kroņaucē </w:t>
      </w:r>
      <w:r>
        <w:rPr>
          <w:rFonts w:eastAsia="Times New Roman" w:cs="Times New Roman"/>
          <w:kern w:val="0"/>
          <w:shd w:fill="auto" w:val="clear"/>
          <w:lang w:val="lv-LV" w:bidi="ar-SA"/>
        </w:rPr>
        <w:t>. (turpmāk – ob</w:t>
      </w:r>
      <w:r>
        <w:rPr>
          <w:rFonts w:eastAsia="Times New Roman" w:cs="Times New Roman"/>
          <w:kern w:val="0"/>
          <w:lang w:val="lv-LV" w:bidi="ar-SA"/>
        </w:rPr>
        <w:t>jekts) (remontdarbu apjoms Pielikumā Nr.8);</w:t>
      </w:r>
    </w:p>
    <w:p>
      <w:pPr>
        <w:pStyle w:val="Normal"/>
        <w:numPr>
          <w:ilvl w:val="1"/>
          <w:numId w:val="3"/>
        </w:numPr>
        <w:spacing w:before="0" w:after="120"/>
        <w:ind w:left="426" w:hanging="426"/>
        <w:jc w:val="both"/>
        <w:rPr/>
      </w:pPr>
      <w:r>
        <w:rPr>
          <w:rFonts w:eastAsia="Times New Roman" w:cs="Times New Roman"/>
          <w:kern w:val="0"/>
          <w:lang w:val="lv-LV" w:bidi="ar-SA"/>
        </w:rPr>
        <w:t>Būvobjekta ekspluatācijas nodošanas termiņš ir sadalīts divos posmos:</w:t>
      </w:r>
    </w:p>
    <w:p>
      <w:pPr>
        <w:pStyle w:val="Normal"/>
        <w:numPr>
          <w:ilvl w:val="2"/>
          <w:numId w:val="3"/>
        </w:numPr>
        <w:spacing w:before="0" w:after="120"/>
        <w:ind w:left="426" w:hanging="426"/>
        <w:jc w:val="both"/>
        <w:rPr/>
      </w:pPr>
      <w:r>
        <w:rPr>
          <w:rFonts w:eastAsia="Times New Roman" w:cs="Times New Roman"/>
          <w:kern w:val="0"/>
          <w:lang w:val="lv-LV" w:bidi="ar-SA"/>
        </w:rPr>
        <w:t xml:space="preserve">trase visos posmos sametināta un šuves pārbaudītas - </w:t>
      </w:r>
      <w:r>
        <w:rPr>
          <w:rFonts w:eastAsia="Times New Roman" w:cs="Times New Roman"/>
          <w:b/>
          <w:bCs/>
          <w:kern w:val="0"/>
          <w:lang w:val="lv-LV" w:bidi="ar-SA"/>
        </w:rPr>
        <w:t>2024</w:t>
      </w:r>
      <w:r>
        <w:rPr>
          <w:rFonts w:eastAsia="Times New Roman" w:cs="Times New Roman"/>
          <w:b/>
          <w:bCs/>
          <w:kern w:val="0"/>
          <w:shd w:fill="auto" w:val="clear"/>
          <w:lang w:val="lv-LV" w:bidi="ar-SA"/>
        </w:rPr>
        <w:t xml:space="preserve">.gada 1.oktobris. </w:t>
      </w:r>
    </w:p>
    <w:p>
      <w:pPr>
        <w:pStyle w:val="Normal"/>
        <w:numPr>
          <w:ilvl w:val="2"/>
          <w:numId w:val="3"/>
        </w:numPr>
        <w:spacing w:before="0" w:after="120"/>
        <w:ind w:left="426" w:hanging="426"/>
        <w:jc w:val="both"/>
        <w:rPr/>
      </w:pPr>
      <w:r>
        <w:rPr>
          <w:rFonts w:eastAsia="Times New Roman" w:cs="Times New Roman"/>
          <w:b w:val="false"/>
          <w:bCs w:val="false"/>
          <w:kern w:val="0"/>
          <w:lang w:val="lv-LV" w:bidi="ar-SA"/>
        </w:rPr>
        <w:t>visas siltumtrases nodošana ekspluatācijā</w:t>
      </w:r>
      <w:r>
        <w:rPr>
          <w:rFonts w:eastAsia="Times New Roman" w:cs="Times New Roman"/>
          <w:b/>
          <w:bCs/>
          <w:kern w:val="0"/>
          <w:lang w:val="lv-LV" w:bidi="ar-SA"/>
        </w:rPr>
        <w:t xml:space="preserve"> – 2024.gada 20.oktobris. </w:t>
      </w:r>
    </w:p>
    <w:p>
      <w:pPr>
        <w:pStyle w:val="Normal"/>
        <w:numPr>
          <w:ilvl w:val="1"/>
          <w:numId w:val="3"/>
        </w:numPr>
        <w:spacing w:before="0" w:after="120"/>
        <w:ind w:left="426" w:hanging="426"/>
        <w:jc w:val="both"/>
        <w:rPr/>
      </w:pPr>
      <w:r>
        <w:rPr/>
        <w:t>Pamatojoties uz pieejamo dokumentāciju, Izpildītājam jāpārbauda darbu apjomi, ko izsniedzis Pasūtītājs. Pirms piedāvājuma iesniegšanas vēlams Pretendentam iepazīstas ar objektu un jāveic būvlaukuma un tā apkārtnes apskate.</w:t>
      </w:r>
    </w:p>
    <w:p>
      <w:pPr>
        <w:pStyle w:val="Normal"/>
        <w:numPr>
          <w:ilvl w:val="1"/>
          <w:numId w:val="3"/>
        </w:numPr>
        <w:spacing w:before="0" w:after="120"/>
        <w:ind w:left="426" w:hanging="426"/>
        <w:jc w:val="both"/>
        <w:rPr/>
      </w:pPr>
      <w:r>
        <w:rPr/>
        <w:t xml:space="preserve">Pretendents, parakstot piedāvājumu, apliecina, ka pirms Piedāvājuma iesniegšanas parakstīšanas ir saņēmis un pietiekošā apjomā iepazinies un pārbaudījis visu tehnisko un juridisko dokumentāciju un faktiskos apstākļus (tai skaitā, būvlaukuma esošo stāvokli, izpētījis vietējos apstākļus, kas varētu ietekmēt Būvniecības izpildi, arī attiecībā uz iespējamiem komunikāciju pieslēgumiem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 </w:t>
      </w:r>
    </w:p>
    <w:p>
      <w:pPr>
        <w:pStyle w:val="Normal"/>
        <w:rPr>
          <w:highlight w:val="none"/>
          <w:shd w:fill="auto" w:val="clear"/>
        </w:rPr>
      </w:pPr>
      <w:r>
        <w:rPr>
          <w:b/>
          <w:shd w:fill="auto" w:val="clear"/>
        </w:rPr>
        <w:t xml:space="preserve">2. </w:t>
      </w:r>
      <w:r>
        <w:rPr>
          <w:b/>
          <w:bCs/>
          <w:u w:val="single"/>
          <w:shd w:fill="auto" w:val="clear"/>
        </w:rPr>
        <w:t>Izolētās tērauda caurules un veidgabali</w:t>
      </w:r>
    </w:p>
    <w:p>
      <w:pPr>
        <w:pStyle w:val="Normal"/>
        <w:rPr>
          <w:highlight w:val="none"/>
          <w:shd w:fill="FFFF00" w:val="clear"/>
        </w:rPr>
      </w:pPr>
      <w:r>
        <w:rPr>
          <w:rFonts w:eastAsia="Calibri" w:cs="Times New Roman"/>
          <w:b/>
          <w:color w:val="000000"/>
          <w:kern w:val="0"/>
          <w:sz w:val="24"/>
          <w:szCs w:val="24"/>
          <w:shd w:fill="auto" w:val="clear"/>
          <w:lang w:val="lv-LV" w:eastAsia="en-US" w:bidi="ar-SA"/>
        </w:rPr>
        <w:t xml:space="preserve">2.1. </w:t>
      </w:r>
      <w:r>
        <w:rPr>
          <w:rFonts w:eastAsia="Calibri" w:cs="Times New Roman"/>
          <w:color w:val="000000"/>
          <w:kern w:val="0"/>
          <w:sz w:val="24"/>
          <w:szCs w:val="24"/>
          <w:shd w:fill="auto" w:val="clear"/>
          <w:lang w:val="lv-LV" w:eastAsia="en-US" w:bidi="ar-SA"/>
        </w:rPr>
        <w:t>I</w:t>
      </w:r>
      <w:r>
        <w:rPr>
          <w:rFonts w:eastAsia="Calibri"/>
          <w:sz w:val="24"/>
          <w:szCs w:val="24"/>
          <w:shd w:fill="auto" w:val="clear"/>
          <w:lang w:val="lv-LV" w:eastAsia="en-US"/>
        </w:rPr>
        <w:t>z</w:t>
      </w:r>
      <w:r>
        <w:rPr>
          <w:rFonts w:eastAsia="Calibri"/>
          <w:sz w:val="24"/>
          <w:szCs w:val="24"/>
          <w:lang w:val="lv-LV" w:eastAsia="en-US"/>
        </w:rPr>
        <w:t xml:space="preserve">mantot rūpnieciski izolētas centralizētās siltumapgādes </w:t>
      </w:r>
      <w:r>
        <w:rPr>
          <w:rFonts w:eastAsia="Calibri" w:cs="Times New Roman"/>
          <w:color w:val="auto"/>
          <w:kern w:val="0"/>
          <w:sz w:val="24"/>
          <w:szCs w:val="24"/>
          <w:lang w:val="lv-LV" w:eastAsia="en-US" w:bidi="ar-SA"/>
        </w:rPr>
        <w:t>cauruļvadus un to elementus:</w:t>
      </w:r>
    </w:p>
    <w:p>
      <w:pPr>
        <w:pStyle w:val="ListParagraph"/>
        <w:widowControl/>
        <w:suppressAutoHyphens w:val="true"/>
        <w:bidi w:val="0"/>
        <w:spacing w:lineRule="auto" w:line="240" w:before="0" w:after="0"/>
        <w:ind w:left="720" w:right="0" w:hanging="0"/>
        <w:contextualSpacing/>
        <w:jc w:val="both"/>
        <w:rPr/>
      </w:pPr>
      <w:r>
        <w:rPr>
          <w:rFonts w:eastAsia="Calibri" w:cs="Times New Roman"/>
          <w:color w:val="auto"/>
          <w:kern w:val="0"/>
          <w:sz w:val="24"/>
          <w:szCs w:val="24"/>
          <w:lang w:val="lv-LV" w:eastAsia="en-US" w:bidi="ar-SA"/>
        </w:rPr>
        <w:tab/>
        <w:t>2.1.1. ražotāja ekspluatācijas laiks ne mazāks pa 25 gadi;</w:t>
      </w:r>
    </w:p>
    <w:p>
      <w:pPr>
        <w:pStyle w:val="ListParagraph"/>
        <w:widowControl/>
        <w:suppressAutoHyphens w:val="true"/>
        <w:bidi w:val="0"/>
        <w:spacing w:lineRule="auto" w:line="240" w:before="0" w:after="0"/>
        <w:ind w:left="720" w:right="0" w:hanging="0"/>
        <w:contextualSpacing/>
        <w:jc w:val="both"/>
        <w:rPr/>
      </w:pPr>
      <w:r>
        <w:rPr>
          <w:rFonts w:eastAsia="Calibri" w:cs="Times New Roman"/>
          <w:color w:val="auto"/>
          <w:kern w:val="0"/>
          <w:sz w:val="24"/>
          <w:szCs w:val="24"/>
          <w:lang w:val="lv-LV" w:eastAsia="en-US" w:bidi="ar-SA"/>
        </w:rPr>
        <w:tab/>
        <w:t>2.1.2. darba spiediens līdz 16 bar;</w:t>
      </w:r>
    </w:p>
    <w:p>
      <w:pPr>
        <w:pStyle w:val="ListParagraph"/>
        <w:widowControl/>
        <w:suppressAutoHyphens w:val="true"/>
        <w:bidi w:val="0"/>
        <w:spacing w:lineRule="auto" w:line="240" w:before="0" w:after="0"/>
        <w:ind w:left="720" w:right="0" w:hanging="0"/>
        <w:contextualSpacing/>
        <w:jc w:val="both"/>
        <w:rPr>
          <w:highlight w:val="none"/>
          <w:shd w:fill="auto" w:val="clear"/>
        </w:rPr>
      </w:pPr>
      <w:r>
        <w:rPr>
          <w:rFonts w:eastAsia="Calibri" w:cs="Times New Roman"/>
          <w:color w:val="000000"/>
          <w:kern w:val="0"/>
          <w:sz w:val="24"/>
          <w:szCs w:val="24"/>
          <w:shd w:fill="auto" w:val="clear"/>
          <w:lang w:val="lv-LV" w:eastAsia="en-US" w:bidi="ar-SA"/>
        </w:rPr>
        <w:tab/>
        <w:t xml:space="preserve">2.1.3. darba temperatūra līdz 120 </w:t>
      </w:r>
      <w:r>
        <w:rPr>
          <w:rFonts w:eastAsia="Calibri" w:cs="Times New Roman" w:ascii="Arial" w:hAnsi="Arial"/>
          <w:color w:val="000000"/>
          <w:kern w:val="0"/>
          <w:sz w:val="24"/>
          <w:szCs w:val="24"/>
          <w:shd w:fill="auto" w:val="clear"/>
          <w:lang w:val="lv-LV" w:eastAsia="en-US" w:bidi="ar-SA"/>
        </w:rPr>
        <w:t>°</w:t>
      </w:r>
      <w:r>
        <w:rPr>
          <w:rFonts w:eastAsia="Calibri" w:cs="Times New Roman"/>
          <w:color w:val="000000"/>
          <w:kern w:val="0"/>
          <w:sz w:val="24"/>
          <w:szCs w:val="24"/>
          <w:shd w:fill="auto" w:val="clear"/>
          <w:lang w:val="lv-LV" w:eastAsia="en-US" w:bidi="ar-SA"/>
        </w:rPr>
        <w:t>C;</w:t>
      </w:r>
    </w:p>
    <w:p>
      <w:pPr>
        <w:pStyle w:val="Normal"/>
        <w:jc w:val="both"/>
        <w:rPr>
          <w:highlight w:val="none"/>
          <w:shd w:fill="auto" w:val="clear"/>
        </w:rPr>
      </w:pPr>
      <w:r>
        <w:rPr>
          <w:shd w:fill="auto" w:val="clear"/>
        </w:rPr>
        <w:t>2.2. Pirms konstrukcijas aizbēršanas Izpildītājam ir jāuzrāda Pasūtītājam noslēgtas caurules, kuras iepriekš ir izpūtas vai kā citādi mehāniski attīrītas no nevēlamiem gružiem  un svešķermeņiem.</w:t>
      </w:r>
    </w:p>
    <w:p>
      <w:pPr>
        <w:pStyle w:val="Normal"/>
        <w:jc w:val="both"/>
        <w:rPr>
          <w:highlight w:val="none"/>
          <w:shd w:fill="auto" w:val="clear"/>
        </w:rPr>
      </w:pPr>
      <w:r>
        <w:rPr>
          <w:shd w:fill="auto" w:val="clear"/>
        </w:rPr>
        <w:t>2.3. R</w:t>
      </w:r>
      <w:r>
        <w:rPr>
          <w:rFonts w:eastAsia="Times New Roman" w:cs="Times New Roman"/>
          <w:kern w:val="0"/>
          <w:shd w:fill="auto" w:val="clear"/>
          <w:lang w:val="lv-LV" w:bidi="ar-SA"/>
        </w:rPr>
        <w:t>emontdarbu apjomu un paredzamās trases izmaiņas skatīt Pielikumā Nr.8. Prognozējamais</w:t>
      </w:r>
      <w:r>
        <w:rPr>
          <w:shd w:fill="auto" w:val="clear"/>
        </w:rPr>
        <w:t xml:space="preserve"> apjoms un izmēri rūpnieciskajām caurulēm skatīt tabulā:</w:t>
      </w:r>
    </w:p>
    <w:tbl>
      <w:tblPr>
        <w:tblW w:w="9240" w:type="dxa"/>
        <w:jc w:val="left"/>
        <w:tblInd w:w="213" w:type="dxa"/>
        <w:tblLayout w:type="fixed"/>
        <w:tblCellMar>
          <w:top w:w="0" w:type="dxa"/>
          <w:left w:w="108" w:type="dxa"/>
          <w:bottom w:w="0" w:type="dxa"/>
          <w:right w:w="108" w:type="dxa"/>
        </w:tblCellMar>
      </w:tblPr>
      <w:tblGrid>
        <w:gridCol w:w="960"/>
        <w:gridCol w:w="3794"/>
        <w:gridCol w:w="1711"/>
        <w:gridCol w:w="1304"/>
        <w:gridCol w:w="1471"/>
      </w:tblGrid>
      <w:tr>
        <w:trPr>
          <w:trHeight w:val="540"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rPr>
                <w:i/>
                <w:i/>
              </w:rPr>
            </w:pPr>
            <w:r>
              <w:rPr>
                <w:i/>
              </w:rPr>
              <w:t>Nr.p.k.</w:t>
            </w:r>
          </w:p>
        </w:tc>
        <w:tc>
          <w:tcPr>
            <w:tcW w:w="3794" w:type="dxa"/>
            <w:tcBorders>
              <w:top w:val="single" w:sz="4" w:space="0" w:color="000000"/>
              <w:bottom w:val="single" w:sz="4" w:space="0" w:color="000000"/>
              <w:right w:val="single" w:sz="4" w:space="0" w:color="000000"/>
            </w:tcBorders>
            <w:vAlign w:val="center"/>
          </w:tcPr>
          <w:p>
            <w:pPr>
              <w:pStyle w:val="Normal"/>
              <w:keepNext w:val="true"/>
              <w:keepLines/>
              <w:widowControl w:val="false"/>
              <w:rPr>
                <w:i/>
                <w:i/>
              </w:rPr>
            </w:pPr>
            <w:r>
              <w:rPr>
                <w:i/>
              </w:rPr>
              <w:t>Cauruļvadu tips</w:t>
            </w:r>
          </w:p>
        </w:tc>
        <w:tc>
          <w:tcPr>
            <w:tcW w:w="1711" w:type="dxa"/>
            <w:tcBorders>
              <w:top w:val="single" w:sz="4" w:space="0" w:color="000000"/>
              <w:bottom w:val="single" w:sz="4" w:space="0" w:color="000000"/>
              <w:right w:val="single" w:sz="4" w:space="0" w:color="000000"/>
            </w:tcBorders>
            <w:vAlign w:val="center"/>
          </w:tcPr>
          <w:p>
            <w:pPr>
              <w:pStyle w:val="Normal"/>
              <w:keepNext w:val="true"/>
              <w:keepLines/>
              <w:widowControl w:val="false"/>
              <w:rPr>
                <w:i/>
                <w:i/>
              </w:rPr>
            </w:pPr>
            <w:r>
              <w:rPr>
                <w:i/>
              </w:rPr>
              <w:t>Cauruļu izmērs</w:t>
            </w:r>
          </w:p>
        </w:tc>
        <w:tc>
          <w:tcPr>
            <w:tcW w:w="1304" w:type="dxa"/>
            <w:tcBorders>
              <w:top w:val="single" w:sz="4" w:space="0" w:color="000000"/>
              <w:bottom w:val="single" w:sz="4" w:space="0" w:color="000000"/>
              <w:right w:val="single" w:sz="4" w:space="0" w:color="000000"/>
            </w:tcBorders>
            <w:vAlign w:val="center"/>
          </w:tcPr>
          <w:p>
            <w:pPr>
              <w:pStyle w:val="Normal"/>
              <w:keepNext w:val="true"/>
              <w:keepLines/>
              <w:widowControl w:val="false"/>
              <w:rPr/>
            </w:pPr>
            <w:r>
              <w:rPr>
                <w:i/>
              </w:rPr>
              <w:t>Mērvienība</w:t>
            </w:r>
          </w:p>
        </w:tc>
        <w:tc>
          <w:tcPr>
            <w:tcW w:w="1471" w:type="dxa"/>
            <w:tcBorders>
              <w:top w:val="single" w:sz="4" w:space="0" w:color="000000"/>
              <w:bottom w:val="single" w:sz="4" w:space="0" w:color="000000"/>
              <w:right w:val="single" w:sz="4" w:space="0" w:color="000000"/>
            </w:tcBorders>
            <w:vAlign w:val="center"/>
          </w:tcPr>
          <w:p>
            <w:pPr>
              <w:pStyle w:val="Normal"/>
              <w:keepNext w:val="true"/>
              <w:keepLines/>
              <w:widowControl w:val="false"/>
              <w:jc w:val="center"/>
              <w:rPr>
                <w:i/>
                <w:i/>
              </w:rPr>
            </w:pPr>
            <w:r>
              <w:rPr>
                <w:i/>
              </w:rPr>
              <w:t>Vienību skaits</w:t>
            </w:r>
          </w:p>
        </w:tc>
      </w:tr>
      <w:tr>
        <w:trPr>
          <w:trHeight w:val="300" w:hRule="atLeast"/>
        </w:trPr>
        <w:tc>
          <w:tcPr>
            <w:tcW w:w="960" w:type="dxa"/>
            <w:tcBorders>
              <w:left w:val="single" w:sz="4" w:space="0" w:color="000000"/>
              <w:bottom w:val="single" w:sz="4" w:space="0" w:color="000000"/>
              <w:right w:val="single" w:sz="4" w:space="0" w:color="000000"/>
            </w:tcBorders>
            <w:vAlign w:val="center"/>
          </w:tcPr>
          <w:p>
            <w:pPr>
              <w:pStyle w:val="Normal"/>
              <w:keepNext w:val="true"/>
              <w:keepLines/>
              <w:widowControl w:val="false"/>
              <w:jc w:val="center"/>
              <w:rPr/>
            </w:pPr>
            <w:r>
              <w:rPr/>
              <w:t>1</w:t>
            </w:r>
          </w:p>
        </w:tc>
        <w:tc>
          <w:tcPr>
            <w:tcW w:w="3794" w:type="dxa"/>
            <w:tcBorders>
              <w:bottom w:val="single" w:sz="4" w:space="0" w:color="000000"/>
              <w:right w:val="single" w:sz="4" w:space="0" w:color="000000"/>
            </w:tcBorders>
            <w:vAlign w:val="bottom"/>
          </w:tcPr>
          <w:p>
            <w:pPr>
              <w:pStyle w:val="Normal"/>
              <w:keepNext w:val="true"/>
              <w:keepLines/>
              <w:widowControl w:val="false"/>
              <w:rPr>
                <w:color w:val="000000"/>
              </w:rPr>
            </w:pPr>
            <w:r>
              <w:rPr>
                <w:color w:val="000000"/>
              </w:rPr>
              <w:t>2. sērijas rūpnieciski izolētas tērauda caurules</w:t>
            </w:r>
          </w:p>
        </w:tc>
        <w:tc>
          <w:tcPr>
            <w:tcW w:w="1711" w:type="dxa"/>
            <w:tcBorders>
              <w:bottom w:val="single" w:sz="4" w:space="0" w:color="000000"/>
              <w:right w:val="single" w:sz="4" w:space="0" w:color="000000"/>
            </w:tcBorders>
            <w:vAlign w:val="center"/>
          </w:tcPr>
          <w:p>
            <w:pPr>
              <w:pStyle w:val="Normal"/>
              <w:keepNext w:val="true"/>
              <w:keepLines/>
              <w:widowControl w:val="false"/>
              <w:rPr/>
            </w:pPr>
            <w:r>
              <w:rPr>
                <w:color w:val="000000"/>
              </w:rPr>
              <w:t>Ø76/160mm</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m</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160</w:t>
            </w:r>
          </w:p>
        </w:tc>
      </w:tr>
      <w:tr>
        <w:trPr>
          <w:trHeight w:val="300" w:hRule="atLeast"/>
        </w:trPr>
        <w:tc>
          <w:tcPr>
            <w:tcW w:w="960" w:type="dxa"/>
            <w:tcBorders>
              <w:left w:val="single" w:sz="4" w:space="0" w:color="000000"/>
              <w:bottom w:val="single" w:sz="4" w:space="0" w:color="000000"/>
              <w:right w:val="single" w:sz="4" w:space="0" w:color="000000"/>
            </w:tcBorders>
            <w:vAlign w:val="bottom"/>
          </w:tcPr>
          <w:p>
            <w:pPr>
              <w:pStyle w:val="Normal"/>
              <w:keepNext w:val="true"/>
              <w:keepLines/>
              <w:widowControl w:val="false"/>
              <w:jc w:val="center"/>
              <w:rPr/>
            </w:pPr>
            <w:r>
              <w:rPr>
                <w:color w:val="000000"/>
              </w:rPr>
              <w:t>2</w:t>
            </w:r>
          </w:p>
        </w:tc>
        <w:tc>
          <w:tcPr>
            <w:tcW w:w="3794" w:type="dxa"/>
            <w:tcBorders>
              <w:bottom w:val="single" w:sz="4" w:space="0" w:color="000000"/>
              <w:right w:val="single" w:sz="4" w:space="0" w:color="000000"/>
            </w:tcBorders>
            <w:vAlign w:val="bottom"/>
          </w:tcPr>
          <w:p>
            <w:pPr>
              <w:pStyle w:val="Normal"/>
              <w:keepNext w:val="true"/>
              <w:keepLines/>
              <w:widowControl w:val="false"/>
              <w:rPr>
                <w:color w:val="000000"/>
              </w:rPr>
            </w:pPr>
            <w:r>
              <w:rPr>
                <w:color w:val="000000"/>
              </w:rPr>
              <w:t>2. sērijas rūpnieciski izolētas tērauda caurules</w:t>
            </w:r>
          </w:p>
        </w:tc>
        <w:tc>
          <w:tcPr>
            <w:tcW w:w="1711" w:type="dxa"/>
            <w:tcBorders>
              <w:bottom w:val="single" w:sz="4" w:space="0" w:color="000000"/>
              <w:right w:val="single" w:sz="4" w:space="0" w:color="000000"/>
            </w:tcBorders>
            <w:vAlign w:val="center"/>
          </w:tcPr>
          <w:p>
            <w:pPr>
              <w:pStyle w:val="Normal"/>
              <w:keepNext w:val="true"/>
              <w:keepLines/>
              <w:widowControl w:val="false"/>
              <w:rPr/>
            </w:pPr>
            <w:r>
              <w:rPr>
                <w:color w:val="000000"/>
              </w:rPr>
              <w:t>Ø60/140mm</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m</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82</w:t>
            </w:r>
          </w:p>
        </w:tc>
      </w:tr>
      <w:tr>
        <w:trPr>
          <w:trHeight w:val="300" w:hRule="atLeast"/>
        </w:trPr>
        <w:tc>
          <w:tcPr>
            <w:tcW w:w="960" w:type="dxa"/>
            <w:tcBorders>
              <w:left w:val="single" w:sz="4" w:space="0" w:color="000000"/>
              <w:bottom w:val="single" w:sz="4" w:space="0" w:color="000000"/>
              <w:right w:val="single" w:sz="4" w:space="0" w:color="000000"/>
            </w:tcBorders>
            <w:vAlign w:val="bottom"/>
          </w:tcPr>
          <w:p>
            <w:pPr>
              <w:pStyle w:val="Normal"/>
              <w:keepNext w:val="true"/>
              <w:keepLines/>
              <w:widowControl w:val="false"/>
              <w:jc w:val="center"/>
              <w:rPr/>
            </w:pPr>
            <w:r>
              <w:rPr>
                <w:color w:val="000000"/>
              </w:rPr>
              <w:t>3</w:t>
            </w:r>
          </w:p>
        </w:tc>
        <w:tc>
          <w:tcPr>
            <w:tcW w:w="3794" w:type="dxa"/>
            <w:tcBorders>
              <w:bottom w:val="single" w:sz="4" w:space="0" w:color="000000"/>
              <w:right w:val="single" w:sz="4" w:space="0" w:color="000000"/>
            </w:tcBorders>
            <w:vAlign w:val="bottom"/>
          </w:tcPr>
          <w:p>
            <w:pPr>
              <w:pStyle w:val="Normal"/>
              <w:keepNext w:val="true"/>
              <w:keepLines/>
              <w:widowControl w:val="false"/>
              <w:rPr>
                <w:color w:val="000000"/>
              </w:rPr>
            </w:pPr>
            <w:r>
              <w:rPr>
                <w:color w:val="000000"/>
              </w:rPr>
              <w:t>2. sērijas rūpnieciski izolētas tērauda caurules</w:t>
            </w:r>
          </w:p>
        </w:tc>
        <w:tc>
          <w:tcPr>
            <w:tcW w:w="1711" w:type="dxa"/>
            <w:tcBorders>
              <w:bottom w:val="single" w:sz="4" w:space="0" w:color="000000"/>
              <w:right w:val="single" w:sz="4" w:space="0" w:color="000000"/>
            </w:tcBorders>
            <w:vAlign w:val="center"/>
          </w:tcPr>
          <w:p>
            <w:pPr>
              <w:pStyle w:val="Normal"/>
              <w:keepNext w:val="true"/>
              <w:keepLines/>
              <w:widowControl w:val="false"/>
              <w:rPr>
                <w:color w:val="000000"/>
              </w:rPr>
            </w:pPr>
            <w:r>
              <w:rPr>
                <w:color w:val="000000"/>
              </w:rPr>
              <w:t>Ø48/125mm</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m</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215</w:t>
            </w:r>
          </w:p>
        </w:tc>
      </w:tr>
      <w:tr>
        <w:trPr>
          <w:trHeight w:val="300" w:hRule="atLeast"/>
        </w:trPr>
        <w:tc>
          <w:tcPr>
            <w:tcW w:w="960" w:type="dxa"/>
            <w:tcBorders>
              <w:left w:val="single" w:sz="4" w:space="0" w:color="000000"/>
              <w:bottom w:val="single" w:sz="4" w:space="0" w:color="000000"/>
              <w:right w:val="single" w:sz="4" w:space="0" w:color="000000"/>
            </w:tcBorders>
            <w:vAlign w:val="bottom"/>
          </w:tcPr>
          <w:p>
            <w:pPr>
              <w:pStyle w:val="Normal"/>
              <w:keepNext w:val="true"/>
              <w:keepLines/>
              <w:widowControl w:val="false"/>
              <w:jc w:val="center"/>
              <w:rPr/>
            </w:pPr>
            <w:r>
              <w:rPr/>
              <w:t>4</w:t>
            </w:r>
          </w:p>
        </w:tc>
        <w:tc>
          <w:tcPr>
            <w:tcW w:w="3794" w:type="dxa"/>
            <w:tcBorders>
              <w:bottom w:val="single" w:sz="4" w:space="0" w:color="000000"/>
              <w:right w:val="single" w:sz="4" w:space="0" w:color="000000"/>
            </w:tcBorders>
            <w:vAlign w:val="center"/>
          </w:tcPr>
          <w:p>
            <w:pPr>
              <w:pStyle w:val="Normal"/>
              <w:keepNext w:val="true"/>
              <w:keepLines/>
              <w:widowControl w:val="false"/>
              <w:rPr>
                <w:color w:val="000000"/>
              </w:rPr>
            </w:pPr>
            <w:r>
              <w:rPr>
                <w:color w:val="000000"/>
              </w:rPr>
              <w:t>2.sērijas rūpnieciski izolēti tērauda atzari</w:t>
            </w:r>
          </w:p>
        </w:tc>
        <w:tc>
          <w:tcPr>
            <w:tcW w:w="1711" w:type="dxa"/>
            <w:tcBorders>
              <w:bottom w:val="single" w:sz="4" w:space="0" w:color="000000"/>
              <w:right w:val="single" w:sz="4" w:space="0" w:color="000000"/>
            </w:tcBorders>
            <w:vAlign w:val="center"/>
          </w:tcPr>
          <w:p>
            <w:pPr>
              <w:pStyle w:val="Normal"/>
              <w:keepNext w:val="true"/>
              <w:keepLines/>
              <w:widowControl w:val="false"/>
              <w:rPr>
                <w:color w:val="000000"/>
              </w:rPr>
            </w:pPr>
            <w:r>
              <w:rPr>
                <w:color w:val="000000"/>
              </w:rPr>
              <w:t>60/48/60</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gab.</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6</w:t>
            </w:r>
          </w:p>
        </w:tc>
      </w:tr>
      <w:tr>
        <w:trPr>
          <w:trHeight w:val="300" w:hRule="atLeast"/>
        </w:trPr>
        <w:tc>
          <w:tcPr>
            <w:tcW w:w="960" w:type="dxa"/>
            <w:tcBorders>
              <w:left w:val="single" w:sz="4" w:space="0" w:color="000000"/>
              <w:bottom w:val="single" w:sz="4" w:space="0" w:color="000000"/>
              <w:right w:val="single" w:sz="4" w:space="0" w:color="000000"/>
            </w:tcBorders>
            <w:vAlign w:val="bottom"/>
          </w:tcPr>
          <w:p>
            <w:pPr>
              <w:pStyle w:val="Normal"/>
              <w:keepNext w:val="true"/>
              <w:keepLines/>
              <w:widowControl w:val="false"/>
              <w:jc w:val="center"/>
              <w:rPr/>
            </w:pPr>
            <w:r>
              <w:rPr/>
              <w:t>5</w:t>
            </w:r>
          </w:p>
        </w:tc>
        <w:tc>
          <w:tcPr>
            <w:tcW w:w="3794" w:type="dxa"/>
            <w:tcBorders>
              <w:bottom w:val="single" w:sz="4" w:space="0" w:color="000000"/>
              <w:right w:val="single" w:sz="4" w:space="0" w:color="000000"/>
            </w:tcBorders>
            <w:vAlign w:val="bottom"/>
          </w:tcPr>
          <w:p>
            <w:pPr>
              <w:pStyle w:val="Normal"/>
              <w:keepNext w:val="true"/>
              <w:keepLines/>
              <w:widowControl w:val="false"/>
              <w:rPr>
                <w:color w:val="000000"/>
              </w:rPr>
            </w:pPr>
            <w:r>
              <w:rPr>
                <w:color w:val="000000"/>
              </w:rPr>
              <w:t>2.sērijas rūpnieciski izolēti tērauda atzari</w:t>
            </w:r>
          </w:p>
        </w:tc>
        <w:tc>
          <w:tcPr>
            <w:tcW w:w="1711" w:type="dxa"/>
            <w:tcBorders>
              <w:bottom w:val="single" w:sz="4" w:space="0" w:color="000000"/>
              <w:right w:val="single" w:sz="4" w:space="0" w:color="000000"/>
            </w:tcBorders>
            <w:vAlign w:val="center"/>
          </w:tcPr>
          <w:p>
            <w:pPr>
              <w:pStyle w:val="Normal"/>
              <w:keepNext w:val="true"/>
              <w:keepLines/>
              <w:widowControl w:val="false"/>
              <w:rPr>
                <w:color w:val="000000"/>
              </w:rPr>
            </w:pPr>
            <w:r>
              <w:rPr>
                <w:color w:val="000000"/>
              </w:rPr>
              <w:t>76/48/60</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gab.</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1</w:t>
            </w:r>
          </w:p>
        </w:tc>
      </w:tr>
      <w:tr>
        <w:trPr>
          <w:trHeight w:val="300" w:hRule="atLeast"/>
        </w:trPr>
        <w:tc>
          <w:tcPr>
            <w:tcW w:w="960" w:type="dxa"/>
            <w:tcBorders>
              <w:left w:val="single" w:sz="4" w:space="0" w:color="000000"/>
              <w:bottom w:val="single" w:sz="4" w:space="0" w:color="000000"/>
              <w:right w:val="single" w:sz="4" w:space="0" w:color="000000"/>
            </w:tcBorders>
            <w:vAlign w:val="center"/>
          </w:tcPr>
          <w:p>
            <w:pPr>
              <w:pStyle w:val="Normal"/>
              <w:keepNext w:val="true"/>
              <w:keepLines/>
              <w:widowControl w:val="false"/>
              <w:jc w:val="center"/>
              <w:rPr/>
            </w:pPr>
            <w:r>
              <w:rPr/>
              <w:t>6</w:t>
            </w:r>
          </w:p>
        </w:tc>
        <w:tc>
          <w:tcPr>
            <w:tcW w:w="3794" w:type="dxa"/>
            <w:tcBorders>
              <w:bottom w:val="single" w:sz="4" w:space="0" w:color="000000"/>
              <w:right w:val="single" w:sz="4" w:space="0" w:color="000000"/>
            </w:tcBorders>
            <w:vAlign w:val="center"/>
          </w:tcPr>
          <w:p>
            <w:pPr>
              <w:pStyle w:val="Normal"/>
              <w:keepNext w:val="true"/>
              <w:keepLines/>
              <w:widowControl w:val="false"/>
              <w:rPr>
                <w:color w:val="000000"/>
              </w:rPr>
            </w:pPr>
            <w:r>
              <w:rPr>
                <w:color w:val="000000"/>
              </w:rPr>
              <w:t>Līkumi un montēšanas materiāli pēc nepieciešamības</w:t>
            </w:r>
          </w:p>
        </w:tc>
        <w:tc>
          <w:tcPr>
            <w:tcW w:w="171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w:t>
            </w:r>
          </w:p>
        </w:tc>
        <w:tc>
          <w:tcPr>
            <w:tcW w:w="1304"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w:t>
            </w:r>
          </w:p>
        </w:tc>
        <w:tc>
          <w:tcPr>
            <w:tcW w:w="1471" w:type="dxa"/>
            <w:tcBorders>
              <w:bottom w:val="single" w:sz="4" w:space="0" w:color="000000"/>
              <w:right w:val="single" w:sz="4" w:space="0" w:color="000000"/>
            </w:tcBorders>
            <w:vAlign w:val="center"/>
          </w:tcPr>
          <w:p>
            <w:pPr>
              <w:pStyle w:val="Normal"/>
              <w:keepNext w:val="true"/>
              <w:keepLines/>
              <w:widowControl w:val="false"/>
              <w:jc w:val="center"/>
              <w:rPr>
                <w:color w:val="000000"/>
              </w:rPr>
            </w:pPr>
            <w:r>
              <w:rPr>
                <w:color w:val="000000"/>
              </w:rPr>
              <w:t>Pēc nepieciešamības</w:t>
            </w:r>
          </w:p>
        </w:tc>
      </w:tr>
    </w:tbl>
    <w:p>
      <w:pPr>
        <w:pStyle w:val="Normal"/>
        <w:jc w:val="both"/>
        <w:rPr>
          <w:highlight w:val="none"/>
          <w:shd w:fill="auto" w:val="clear"/>
        </w:rPr>
      </w:pPr>
      <w:r>
        <w:rPr>
          <w:shd w:fill="auto" w:val="clear"/>
        </w:rPr>
      </w:r>
    </w:p>
    <w:p>
      <w:pPr>
        <w:pStyle w:val="Normal"/>
        <w:numPr>
          <w:ilvl w:val="0"/>
          <w:numId w:val="4"/>
        </w:numPr>
        <w:ind w:left="360" w:right="-6" w:hanging="360"/>
        <w:rPr>
          <w:b/>
        </w:rPr>
      </w:pPr>
      <w:r>
        <w:rPr>
          <w:b/>
        </w:rPr>
        <w:t>Pretendentam darba uzdevumā ietilpst:</w:t>
      </w:r>
    </w:p>
    <w:p>
      <w:pPr>
        <w:pStyle w:val="Normal"/>
        <w:numPr>
          <w:ilvl w:val="1"/>
          <w:numId w:val="4"/>
        </w:numPr>
        <w:spacing w:before="0" w:after="120"/>
        <w:ind w:left="426" w:hanging="426"/>
        <w:jc w:val="both"/>
        <w:rPr/>
      </w:pPr>
      <w:r>
        <w:rPr/>
        <w:t>Nodrošināt darba kvalitāti un apjomus atbilstoši Latvijas Republikā spēka esošajiem būvnormatīviem, Dobeles pašvaldības saistošiem apbūves noteikumiem, siltumtrases materiālu firmas – ražotāja tehnoloģijai,</w:t>
      </w:r>
      <w:r>
        <w:rPr>
          <w:rFonts w:eastAsia="Times New Roman" w:cs="Times New Roman"/>
          <w:color w:val="auto"/>
          <w:kern w:val="0"/>
          <w:sz w:val="24"/>
          <w:szCs w:val="24"/>
          <w:lang w:val="lv-LV" w:eastAsia="en-US" w:bidi="ar-SA"/>
        </w:rPr>
        <w:t xml:space="preserve"> Darba aizsardzības prasībām </w:t>
      </w:r>
      <w:r>
        <w:rPr/>
        <w:t>u.c. noteikumiem, kas attiecās uz veicamajiem darbiem.</w:t>
      </w:r>
    </w:p>
    <w:p>
      <w:pPr>
        <w:pStyle w:val="Normal"/>
        <w:numPr>
          <w:ilvl w:val="1"/>
          <w:numId w:val="4"/>
        </w:numPr>
        <w:spacing w:before="0" w:after="120"/>
        <w:ind w:left="426" w:hanging="426"/>
        <w:jc w:val="both"/>
        <w:rPr/>
      </w:pPr>
      <w:r>
        <w:rPr>
          <w:rFonts w:eastAsia="Times New Roman" w:cs="Times New Roman"/>
          <w:color w:val="000000"/>
          <w:sz w:val="23"/>
          <w:szCs w:val="23"/>
          <w:lang w:eastAsia="lv-LV" w:bidi="lv-LV"/>
        </w:rPr>
        <w:t>Pretendentam jāparedz izmaksas par visiem nepieciešamajiem saskaņojumiem, atļaujām un to nosacījumu izpildi būvdarbu uzsākšanai, un objekta nodošanai ekspluatācijā.</w:t>
      </w:r>
    </w:p>
    <w:p>
      <w:pPr>
        <w:pStyle w:val="Normal"/>
        <w:numPr>
          <w:ilvl w:val="1"/>
          <w:numId w:val="4"/>
        </w:numPr>
        <w:spacing w:before="0" w:after="120"/>
        <w:ind w:left="426" w:hanging="426"/>
        <w:jc w:val="both"/>
        <w:rPr/>
      </w:pPr>
      <w:r>
        <w:rPr/>
        <w:t xml:space="preserve">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w:t>
      </w:r>
    </w:p>
    <w:p>
      <w:pPr>
        <w:pStyle w:val="Normal"/>
        <w:numPr>
          <w:ilvl w:val="1"/>
          <w:numId w:val="4"/>
        </w:numPr>
        <w:overflowPunct w:val="false"/>
        <w:spacing w:before="0" w:after="120"/>
        <w:ind w:left="426" w:hanging="426"/>
        <w:jc w:val="both"/>
        <w:textAlignment w:val="baseline"/>
        <w:rPr/>
      </w:pPr>
      <w:r>
        <w:rPr/>
        <w:t>P</w:t>
      </w:r>
      <w:r>
        <w:rPr>
          <w:shd w:fill="auto" w:val="clear"/>
        </w:rPr>
        <w:t>aziņot Pasūtītājam par segto darbu uzrādīšanu 3 darba dienas pirms konstrukciju aizsegšanas.</w:t>
      </w:r>
    </w:p>
    <w:p>
      <w:pPr>
        <w:pStyle w:val="Normal"/>
        <w:numPr>
          <w:ilvl w:val="1"/>
          <w:numId w:val="4"/>
        </w:numPr>
        <w:overflowPunct w:val="false"/>
        <w:spacing w:before="0" w:after="120"/>
        <w:ind w:left="426" w:hanging="426"/>
        <w:jc w:val="both"/>
        <w:textAlignment w:val="baseline"/>
        <w:rPr/>
      </w:pPr>
      <w:r>
        <w:rPr>
          <w:rFonts w:eastAsia="Times New Roman" w:cs="Times New Roman"/>
          <w:color w:val="000000"/>
          <w:sz w:val="23"/>
          <w:szCs w:val="23"/>
          <w:shd w:fill="auto" w:val="clear"/>
          <w:lang w:eastAsia="lv-LV" w:bidi="lv-LV"/>
        </w:rPr>
        <w:t>Saglabāt esošās inženierkomunikācijas, tai skaitā ģeodēziskos punktus. Par komunikāciju bojājumiem nekavējoties ziņot Pasūtītājam un inženierkomunikāciju īpašniekiem.</w:t>
      </w:r>
    </w:p>
    <w:p>
      <w:pPr>
        <w:pStyle w:val="Normal"/>
        <w:numPr>
          <w:ilvl w:val="1"/>
          <w:numId w:val="4"/>
        </w:numPr>
        <w:overflowPunct w:val="false"/>
        <w:spacing w:before="0" w:after="120"/>
        <w:ind w:left="426" w:hanging="426"/>
        <w:jc w:val="both"/>
        <w:textAlignment w:val="baseline"/>
        <w:rPr/>
      </w:pPr>
      <w:r>
        <w:rPr/>
        <w:t>Rakšanas darba atļaujas (t.sk. saskaņojumi ar pazemes inženiertīklu īpašniekiem), iebūvēto materiālu un konstrukciju ekspluatācijas īpašību deklarācijas un cita dokumentācija, kas attiecināma uz objektu, ir pieejamas būvlaukumā tām amatpersonām, kurām ir tiesības kontrolēt būvdarbus.</w:t>
      </w:r>
    </w:p>
    <w:p>
      <w:pPr>
        <w:pStyle w:val="Normal"/>
        <w:numPr>
          <w:ilvl w:val="1"/>
          <w:numId w:val="4"/>
        </w:numPr>
        <w:spacing w:before="0" w:after="120"/>
        <w:ind w:left="426" w:hanging="426"/>
        <w:jc w:val="both"/>
        <w:rPr/>
      </w:pPr>
      <w:r>
        <w:rPr/>
        <w:t>Ne vēlāk kā 5 dienas pirms konkrētu darbu posma sākuma brīdināt Pasūtītāju par līgumā neparedzētiem apstākļiem, kādi radušies pēc līguma noslēgšanas no Izpildītāja neatkarīgu apstākļu dēļ, vienlaikus iesniedzot savus priekšlikumus.</w:t>
      </w:r>
    </w:p>
    <w:p>
      <w:pPr>
        <w:pStyle w:val="Normal"/>
        <w:numPr>
          <w:ilvl w:val="1"/>
          <w:numId w:val="4"/>
        </w:numPr>
        <w:overflowPunct w:val="false"/>
        <w:spacing w:before="0" w:after="120"/>
        <w:ind w:left="426" w:hanging="426"/>
        <w:jc w:val="both"/>
        <w:textAlignment w:val="baseline"/>
        <w:rPr/>
      </w:pPr>
      <w:r>
        <w:rPr/>
        <w:t>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pPr>
        <w:pStyle w:val="Normal"/>
        <w:numPr>
          <w:ilvl w:val="1"/>
          <w:numId w:val="4"/>
        </w:numPr>
        <w:overflowPunct w:val="false"/>
        <w:spacing w:before="0" w:after="120"/>
        <w:ind w:left="567" w:hanging="567"/>
        <w:jc w:val="both"/>
        <w:textAlignment w:val="baseline"/>
        <w:rPr/>
      </w:pPr>
      <w:r>
        <w:rPr/>
        <w:t xml:space="preserve">Liekās grunts un demontētās konstrukcijas Izpildītājs nodot Pasūtītājam. </w:t>
      </w:r>
    </w:p>
    <w:p>
      <w:pPr>
        <w:pStyle w:val="Normal"/>
        <w:numPr>
          <w:ilvl w:val="1"/>
          <w:numId w:val="4"/>
        </w:numPr>
        <w:spacing w:before="0" w:after="120"/>
        <w:ind w:left="539" w:hanging="539"/>
        <w:jc w:val="both"/>
        <w:rPr/>
      </w:pPr>
      <w:r>
        <w:rPr/>
        <w:t>Segt visus izdevumus, kas saistīti ar iesniegtā darbu izpildes grafika neievērošanu un administratīvajiem sodiem par būvniecības normu neievērošanu, ja tie nav radušies Pasūtītāja vainas dēļ.</w:t>
      </w:r>
    </w:p>
    <w:p>
      <w:pPr>
        <w:pStyle w:val="Normal"/>
        <w:numPr>
          <w:ilvl w:val="1"/>
          <w:numId w:val="4"/>
        </w:numPr>
        <w:spacing w:before="0" w:after="120"/>
        <w:ind w:left="539" w:hanging="539"/>
        <w:jc w:val="both"/>
        <w:rPr/>
      </w:pPr>
      <w:r>
        <w:rPr/>
        <w:t xml:space="preserve">Par gaidāmiem remontdarbiem un ar to saistītajām ielu slēgšanām Pasūtītājs informēs iedzīvotājus un attiecīgos dienestus. </w:t>
      </w:r>
    </w:p>
    <w:p>
      <w:pPr>
        <w:pStyle w:val="Normal"/>
        <w:numPr>
          <w:ilvl w:val="1"/>
          <w:numId w:val="4"/>
        </w:numPr>
        <w:spacing w:before="0" w:after="120"/>
        <w:ind w:left="539" w:hanging="539"/>
        <w:jc w:val="both"/>
        <w:rPr/>
      </w:pPr>
      <w:r>
        <w:rPr/>
        <w:t>Izpildītājam jānodrošina piekļuve trešo personu īpašumiem ugunsdzēsēju un glābēju, policijas, neatliekamās medicīniskās palīdzības, citu speciālo dienestu transportam un šo īpašumu iedzīvotājiem.</w:t>
      </w:r>
    </w:p>
    <w:p>
      <w:pPr>
        <w:pStyle w:val="Normal"/>
        <w:numPr>
          <w:ilvl w:val="1"/>
          <w:numId w:val="4"/>
        </w:numPr>
        <w:spacing w:before="0" w:after="120"/>
        <w:ind w:left="539" w:hanging="539"/>
        <w:jc w:val="both"/>
        <w:rPr/>
      </w:pPr>
      <w:r>
        <w:rPr/>
        <w:t>Izpildītājs būvdarbu laikā nodrošina transporta kustību saskaņā ar Darbu veikšanas projekta sastāvā esošo transporta kustības shēmu, nodrošina būves norobežojumu ar aizsargbarjerām, saskaņā ar MK noteikumiem Nr.421 „Noteikumi par darba vietu aprīkošanu uz ceļiem”, nodrošina gājēju iešanu pa speciāli uzstādītām laipām.</w:t>
      </w:r>
    </w:p>
    <w:p>
      <w:pPr>
        <w:pStyle w:val="Normal"/>
        <w:numPr>
          <w:ilvl w:val="1"/>
          <w:numId w:val="4"/>
        </w:numPr>
        <w:spacing w:before="0" w:after="120"/>
        <w:ind w:left="539" w:hanging="539"/>
        <w:jc w:val="both"/>
        <w:rPr/>
      </w:pPr>
      <w:r>
        <w:rPr/>
        <w:t>Izpildītājam jāveic esošo koku aizsardzības pasākumi būvlaukumā saskaņā ar būvprojektā un darbu veikšanas projektā ietvertajiem risinājumiem.</w:t>
      </w:r>
    </w:p>
    <w:p>
      <w:pPr>
        <w:pStyle w:val="Normal"/>
        <w:numPr>
          <w:ilvl w:val="1"/>
          <w:numId w:val="4"/>
        </w:numPr>
        <w:spacing w:before="0" w:after="120"/>
        <w:ind w:left="539" w:hanging="539"/>
        <w:jc w:val="both"/>
        <w:rPr/>
      </w:pPr>
      <w:r>
        <w:rPr/>
        <w:t>Saglabāt esošās inženierkomunikācijas, tai skaitā ģeodēziskos punktus. Par komunikāciju bojājumiem nekavējoties ziņot Pasūtītājam.</w:t>
      </w:r>
    </w:p>
    <w:p>
      <w:pPr>
        <w:pStyle w:val="Normal"/>
        <w:numPr>
          <w:ilvl w:val="1"/>
          <w:numId w:val="4"/>
        </w:numPr>
        <w:overflowPunct w:val="false"/>
        <w:spacing w:before="0" w:after="120"/>
        <w:ind w:left="539" w:hanging="539"/>
        <w:jc w:val="both"/>
        <w:textAlignment w:val="baseline"/>
        <w:rPr/>
      </w:pPr>
      <w:r>
        <w:rPr/>
        <w:t>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pPr>
        <w:pStyle w:val="Normal"/>
        <w:numPr>
          <w:ilvl w:val="1"/>
          <w:numId w:val="4"/>
        </w:numPr>
        <w:overflowPunct w:val="false"/>
        <w:spacing w:before="0" w:after="120"/>
        <w:ind w:left="539" w:hanging="539"/>
        <w:jc w:val="both"/>
        <w:textAlignment w:val="baseline"/>
        <w:rPr/>
      </w:pPr>
      <w:r>
        <w:rPr/>
        <w:t>Izpildītājs sedz visas ar būves un būvniecību saistītās uzturēšanas, apsardzes izmaksas. Izpildītājs atbild par darba aizsardzības, ugunsdrošības prasību ievērošanu un dabas aizsardzības pasākumu ievērošanu būvē, kā arī par pieguļošās teritorijas piegružošanu, kas smilts, būvgružu vai dubļu veidā tiek iznesti no objektā.</w:t>
      </w:r>
    </w:p>
    <w:p>
      <w:pPr>
        <w:pStyle w:val="Normal"/>
        <w:numPr>
          <w:ilvl w:val="1"/>
          <w:numId w:val="4"/>
        </w:numPr>
        <w:overflowPunct w:val="false"/>
        <w:spacing w:before="0" w:after="120"/>
        <w:ind w:left="567" w:hanging="567"/>
        <w:jc w:val="both"/>
        <w:textAlignment w:val="baseline"/>
        <w:rPr/>
      </w:pPr>
      <w:r>
        <w:rPr/>
        <w:t xml:space="preserve">Izpildītājs  veic metināmo cauruļu 100% šuvju pārbaudi pēc </w:t>
      </w:r>
      <w:r>
        <w:rPr>
          <w:rFonts w:eastAsia="Times New Roman" w:cs="Times New Roman"/>
          <w:color w:val="auto"/>
          <w:kern w:val="0"/>
          <w:sz w:val="24"/>
          <w:szCs w:val="24"/>
          <w:lang w:val="lv-LV" w:eastAsia="en-US" w:bidi="ar-SA"/>
        </w:rPr>
        <w:t xml:space="preserve">nesagraujošās pārbaudes metodes. </w:t>
      </w:r>
      <w:r>
        <w:rPr/>
        <w:t xml:space="preserve">Visos gadījumos iepriekš jāveic 100% vizuālā testēšana. Testēšanas pārskatus pasūta un apmaksā Izpildītājs. </w:t>
      </w:r>
    </w:p>
    <w:p>
      <w:pPr>
        <w:pStyle w:val="Normal"/>
        <w:numPr>
          <w:ilvl w:val="1"/>
          <w:numId w:val="4"/>
        </w:numPr>
        <w:overflowPunct w:val="false"/>
        <w:spacing w:before="0" w:after="120"/>
        <w:ind w:left="567" w:hanging="567"/>
        <w:jc w:val="both"/>
        <w:textAlignment w:val="baseline"/>
        <w:rPr/>
      </w:pPr>
      <w:r>
        <w:rPr/>
        <w:t>Savieno</w:t>
      </w:r>
      <w:r>
        <w:rPr>
          <w:shd w:fill="auto" w:val="clear"/>
        </w:rPr>
        <w:t xml:space="preserve">juma uzmavu hermētiskuma pārbaude, ko veic pasūtītājs (fiksē brīvas formas aktā).  </w:t>
      </w:r>
    </w:p>
    <w:p>
      <w:pPr>
        <w:pStyle w:val="Normal"/>
        <w:numPr>
          <w:ilvl w:val="1"/>
          <w:numId w:val="4"/>
        </w:numPr>
        <w:overflowPunct w:val="false"/>
        <w:spacing w:before="0" w:after="120"/>
        <w:ind w:left="567" w:hanging="567"/>
        <w:jc w:val="both"/>
        <w:textAlignment w:val="baseline"/>
        <w:rPr>
          <w:u w:val="single"/>
        </w:rPr>
      </w:pPr>
      <w:r>
        <w:rPr>
          <w:u w:val="single"/>
        </w:rPr>
        <w:t>Izp</w:t>
      </w:r>
      <w:r>
        <w:rPr>
          <w:u w:val="single"/>
          <w:shd w:fill="auto" w:val="clear"/>
        </w:rPr>
        <w:t>ildītājs neveic seguma atjaunošanu un labiekārtošanas darbus, bet sagatavo būvbedres aizbēršanu u</w:t>
      </w:r>
      <w:r>
        <w:rPr>
          <w:u w:val="single"/>
        </w:rPr>
        <w:t xml:space="preserve">n noblietēšanu atbilstoši prasībām, informē Pasūtītāju par nepieciešamību veikt seguma atjaunošanas un labiekārtošanas darbus vismaz 5 dienas iepriekš pirms notikums ir iestājies, </w:t>
      </w:r>
    </w:p>
    <w:p>
      <w:pPr>
        <w:pStyle w:val="Normal"/>
        <w:numPr>
          <w:ilvl w:val="1"/>
          <w:numId w:val="4"/>
        </w:numPr>
        <w:spacing w:before="0" w:after="120"/>
        <w:ind w:left="567" w:hanging="567"/>
        <w:jc w:val="both"/>
        <w:rPr/>
      </w:pPr>
      <w:r>
        <w:rPr/>
        <w:t>Nodot Pasūtītājam izpilddokumentāciju pilnā apjomā 1.2. punktā minētajā termiņā. Pazemes komunikāciju izpildshēmas un uzmērījums elektroniskā formā CD-formātā iesniedzamas Pasūtītājam. Siltumtīklu izpildshēmā jābūt uzrādītām savienojuma vietām ar piesaistēm Baltijas augstumu sistēmā un vietējā koordinātu sistēmā.</w:t>
      </w:r>
    </w:p>
    <w:p>
      <w:pPr>
        <w:pStyle w:val="Normal"/>
        <w:numPr>
          <w:ilvl w:val="1"/>
          <w:numId w:val="4"/>
        </w:numPr>
        <w:spacing w:before="0" w:after="120"/>
        <w:ind w:left="567" w:hanging="567"/>
        <w:jc w:val="both"/>
        <w:rPr/>
      </w:pPr>
      <w:r>
        <w:rPr/>
        <w:t>Izpilddokumentācijas sastāvā jābūt arī siltumtrases avārijas signalizācijas shēma, signalizācijas montāžas pārbaudes protokoli (pretestība turpgaitā/atgaitā pa posmiem), uzraudzības signalizācijas pieņemšanas akts.</w:t>
      </w:r>
    </w:p>
    <w:p>
      <w:pPr>
        <w:pStyle w:val="Normal"/>
        <w:numPr>
          <w:ilvl w:val="1"/>
          <w:numId w:val="4"/>
        </w:numPr>
        <w:spacing w:before="0" w:after="120"/>
        <w:ind w:left="567" w:hanging="567"/>
        <w:jc w:val="both"/>
        <w:rPr/>
      </w:pPr>
      <w:r>
        <w:rPr/>
        <w:t xml:space="preserve">Ceļa zīmju izvietošanu </w:t>
      </w:r>
      <w:r>
        <w:rPr>
          <w:shd w:fill="auto" w:val="clear"/>
        </w:rPr>
        <w:t>pirms uzstādīšanas jāsaskaņo ar Pasūtītāju</w:t>
      </w:r>
    </w:p>
    <w:p>
      <w:pPr>
        <w:pStyle w:val="Normal"/>
        <w:numPr>
          <w:ilvl w:val="0"/>
          <w:numId w:val="4"/>
        </w:numPr>
        <w:spacing w:before="0" w:after="120"/>
        <w:jc w:val="both"/>
        <w:rPr/>
      </w:pPr>
      <w:r>
        <w:rPr>
          <w:b/>
        </w:rPr>
        <w:t>Garantijas</w:t>
      </w:r>
    </w:p>
    <w:p>
      <w:pPr>
        <w:pStyle w:val="Normal"/>
        <w:numPr>
          <w:ilvl w:val="1"/>
          <w:numId w:val="4"/>
        </w:numPr>
        <w:spacing w:before="0" w:after="120"/>
        <w:ind w:left="426" w:hanging="426"/>
        <w:jc w:val="both"/>
        <w:rPr/>
      </w:pPr>
      <w:r>
        <w:rPr/>
        <w:t>Izpildītājs garantē veikto darbu atbilstību kā pēc kvalitātes, tā arī pēc darba apjoma, pastāvošajām būvniecības normām.</w:t>
      </w:r>
    </w:p>
    <w:p>
      <w:pPr>
        <w:pStyle w:val="Normal"/>
        <w:numPr>
          <w:ilvl w:val="1"/>
          <w:numId w:val="4"/>
        </w:numPr>
        <w:spacing w:before="0" w:after="120"/>
        <w:ind w:left="426" w:hanging="426"/>
        <w:jc w:val="both"/>
        <w:rPr/>
      </w:pPr>
      <w:r>
        <w:rPr/>
        <w:t xml:space="preserve">Garantijas laiks izpildītiem darbiem  –  ne mazāk kā 5 (pieci) gadi. </w:t>
      </w:r>
    </w:p>
    <w:p>
      <w:pPr>
        <w:pStyle w:val="Normal"/>
        <w:numPr>
          <w:ilvl w:val="1"/>
          <w:numId w:val="4"/>
        </w:numPr>
        <w:spacing w:before="0" w:after="120"/>
        <w:ind w:left="426" w:hanging="426"/>
        <w:jc w:val="both"/>
        <w:rPr/>
      </w:pPr>
      <w:r>
        <w:rPr/>
        <w:t>Garantijas laiks tiek rēķināts no objekta nodošanas ekspluatācijā brīža.</w:t>
      </w:r>
    </w:p>
    <w:p>
      <w:pPr>
        <w:pStyle w:val="Normal"/>
        <w:numPr>
          <w:ilvl w:val="1"/>
          <w:numId w:val="5"/>
        </w:numPr>
        <w:tabs>
          <w:tab w:val="clear" w:pos="720"/>
        </w:tabs>
        <w:spacing w:before="0" w:after="120"/>
        <w:ind w:left="426" w:hanging="426"/>
        <w:jc w:val="both"/>
        <w:rPr/>
      </w:pPr>
      <w:r>
        <w:rPr>
          <w:rFonts w:eastAsia="Times New Roman" w:cs="Times New Roman"/>
          <w:b/>
          <w:kern w:val="0"/>
          <w:lang w:val="lv-LV" w:bidi="ar-SA"/>
        </w:rPr>
        <w:t>Remontdarbu apjoms Pielikumā Nr.8 skaidrojums</w:t>
      </w:r>
    </w:p>
    <w:p>
      <w:pPr>
        <w:pStyle w:val="Normal"/>
        <w:numPr>
          <w:ilvl w:val="1"/>
          <w:numId w:val="5"/>
        </w:numPr>
        <w:spacing w:before="0" w:after="120"/>
        <w:ind w:left="426" w:hanging="426"/>
        <w:jc w:val="both"/>
        <w:rPr/>
      </w:pPr>
      <w:r>
        <w:rPr>
          <w:shd w:fill="auto" w:val="clear"/>
        </w:rPr>
        <w:t xml:space="preserve">Ar </w:t>
      </w:r>
      <w:r>
        <w:rPr>
          <w:color w:val="C9211E"/>
          <w:u w:val="single"/>
          <w:shd w:fill="auto" w:val="clear"/>
        </w:rPr>
        <w:t>sarkano krāsu</w:t>
      </w:r>
      <w:r>
        <w:rPr>
          <w:shd w:fill="auto" w:val="clear"/>
        </w:rPr>
        <w:t xml:space="preserve"> tiek iezīmēts trases posms, kuram nepieciešams veikt esošās siltumtrases nomaiņu pret jaunu bezkanāla tipa siltumtrasi no rūpnieciski izolētiem cauruļvadiem. Siltumtrases nomaiņu veikt no katlu mājas noslēgvārtsam līdz katras ēkas siltumtrases noslēgvārstam (noslēgvārsti netiek mainīti). Ēkas piederības robeža parādīta Pielikumā nr.8 C sadaļā. </w:t>
      </w:r>
    </w:p>
    <w:p>
      <w:pPr>
        <w:pStyle w:val="Normal"/>
        <w:numPr>
          <w:ilvl w:val="1"/>
          <w:numId w:val="5"/>
        </w:numPr>
        <w:spacing w:before="0" w:after="120"/>
        <w:ind w:left="426" w:hanging="426"/>
        <w:jc w:val="both"/>
        <w:rPr/>
      </w:pPr>
      <w:r>
        <w:rPr>
          <w:shd w:fill="auto" w:val="clear"/>
        </w:rPr>
        <w:t>Cauruļvadu diametri tiks mainīti un to izmēri ir norādīti katram posmam.</w:t>
      </w:r>
    </w:p>
    <w:p>
      <w:pPr>
        <w:pStyle w:val="Normal"/>
        <w:numPr>
          <w:ilvl w:val="1"/>
          <w:numId w:val="5"/>
        </w:numPr>
        <w:spacing w:before="0" w:after="120"/>
        <w:ind w:left="426" w:hanging="426"/>
        <w:jc w:val="both"/>
        <w:rPr/>
      </w:pPr>
      <w:r>
        <w:rPr>
          <w:shd w:fill="auto" w:val="clear"/>
        </w:rPr>
        <w:t xml:space="preserve">Paredzēt siltumtrases kompensatorus siltumtrases </w:t>
      </w:r>
      <w:r>
        <w:rPr>
          <w:color w:val="000000"/>
          <w:shd w:fill="auto" w:val="clear"/>
        </w:rPr>
        <w:t xml:space="preserve">Ø76/160mm garākajam posmam. </w:t>
      </w:r>
    </w:p>
    <w:p>
      <w:pPr>
        <w:pStyle w:val="Normal"/>
        <w:numPr>
          <w:ilvl w:val="1"/>
          <w:numId w:val="5"/>
        </w:numPr>
        <w:spacing w:before="0" w:after="120"/>
        <w:ind w:left="426" w:hanging="426"/>
        <w:jc w:val="both"/>
        <w:rPr/>
      </w:pPr>
      <w:r>
        <w:rPr>
          <w:color w:val="000000"/>
          <w:shd w:fill="auto" w:val="clear"/>
        </w:rPr>
        <w:t xml:space="preserve">A un B shēmā ir provizoriski attēlotas vēlamās izmaiņas, lai vienkāršotu siltumtrases remontdarbus un samazinātu materiālu un darba apjomu. </w:t>
      </w:r>
    </w:p>
    <w:p>
      <w:pPr>
        <w:pStyle w:val="Normal"/>
        <w:spacing w:before="0" w:after="120"/>
        <w:ind w:left="426" w:hanging="426"/>
        <w:jc w:val="right"/>
        <w:rPr>
          <w:b/>
        </w:rPr>
      </w:pPr>
      <w:r>
        <w:rPr>
          <w:b/>
        </w:rPr>
      </w:r>
    </w:p>
    <w:p>
      <w:pPr>
        <w:pStyle w:val="Normal"/>
        <w:widowControl w:val="false"/>
        <w:spacing w:lineRule="auto" w:line="240"/>
        <w:ind w:right="9" w:hanging="0"/>
        <w:jc w:val="both"/>
        <w:rPr>
          <w:i/>
          <w:i/>
          <w:sz w:val="22"/>
          <w:szCs w:val="22"/>
        </w:rPr>
      </w:pPr>
      <w:r>
        <w:rPr>
          <w:i/>
          <w:sz w:val="22"/>
          <w:szCs w:val="22"/>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1" w:name="_Hlk45008671"/>
      <w:bookmarkStart w:id="2" w:name="_Hlk45008671"/>
      <w:bookmarkEnd w:id="2"/>
    </w:p>
    <w:p>
      <w:pPr>
        <w:pStyle w:val="Normal"/>
        <w:jc w:val="right"/>
        <w:rPr>
          <w:rFonts w:ascii="Times New Roman" w:hAnsi="Times New Roman" w:cs="Times New Roman"/>
        </w:rPr>
      </w:pPr>
      <w:bookmarkStart w:id="3" w:name="_Hlk450086711"/>
      <w:bookmarkEnd w:id="3"/>
      <w:r>
        <w:rPr>
          <w:rFonts w:cs="Times New Roman"/>
          <w:i/>
          <w:iCs/>
        </w:rPr>
        <w:t>paraksts</w:t>
      </w:r>
      <w:r>
        <w:rPr>
          <w:rFonts w:cs="Times New Roman"/>
          <w:i/>
        </w:rPr>
        <w:t>:________________________________</w:t>
      </w:r>
    </w:p>
    <w:p>
      <w:pPr>
        <w:pStyle w:val="Normal"/>
        <w:spacing w:lineRule="auto" w:line="240" w:before="0" w:after="160"/>
        <w:jc w:val="right"/>
        <w:rPr>
          <w:rFonts w:ascii="Times New Roman" w:hAnsi="Times New Roman" w:cs="Times New Roman"/>
        </w:rPr>
      </w:pPr>
      <w:r>
        <w:rPr/>
      </w:r>
    </w:p>
    <w:sectPr>
      <w:footerReference w:type="even" r:id="rId2"/>
      <w:footerReference w:type="default" r:id="rId3"/>
      <w:footerReference w:type="first" r:id="rId4"/>
      <w:type w:val="nextPage"/>
      <w:pgSz w:w="11906" w:h="16838"/>
      <w:pgMar w:left="1560" w:right="1133" w:gutter="0" w:header="0" w:top="851" w:footer="275" w:bottom="9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Swiss T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7780" cy="17780"/>
              <wp:effectExtent l="0" t="0" r="0" b="0"/>
              <wp:wrapSquare wrapText="bothSides"/>
              <wp:docPr id="1" name="Frame1"/>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35pt;height:1.3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sz w:val="24"/>
        <w:i w:val="false"/>
        <w:szCs w:val="24"/>
        <w:iCs/>
        <w:rFonts w:cs="Times New Roman"/>
        <w:color w:val="auto"/>
      </w:rPr>
    </w:lvl>
    <w:lvl w:ilvl="2">
      <w:start w:val="1"/>
      <w:numFmt w:val="decimal"/>
      <w:lvlText w:val="%1.%2.%3."/>
      <w:lvlJc w:val="left"/>
      <w:pPr>
        <w:tabs>
          <w:tab w:val="num" w:pos="1224"/>
        </w:tabs>
        <w:ind w:left="1224" w:hanging="504"/>
      </w:pPr>
      <w:rPr>
        <w:i w:val="false"/>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lvl w:ilvl="0">
      <w:start w:val="1"/>
      <w:numFmt w:val="decimal"/>
      <w:lvlText w:val="%1."/>
      <w:lvlJc w:val="left"/>
      <w:pPr>
        <w:tabs>
          <w:tab w:val="num" w:pos="360"/>
        </w:tabs>
        <w:ind w:left="360" w:hanging="360"/>
      </w:pPr>
      <w:rPr>
        <w:smallCaps w:val="false"/>
        <w:caps w:val="false"/>
        <w:dstrike w:val="false"/>
        <w:strike w:val="false"/>
        <w:vertAlign w:val="baseline"/>
        <w:position w:val="0"/>
        <w:sz w:val="20"/>
        <w:sz w:val="20"/>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
    <w:lvl w:ilvl="0">
      <w:start w:val="1"/>
      <w:numFmt w:val="decimal"/>
      <w:lvlText w:val="%1."/>
      <w:lvlJc w:val="left"/>
      <w:pPr>
        <w:tabs>
          <w:tab w:val="num" w:pos="405"/>
        </w:tabs>
        <w:ind w:left="405" w:hanging="405"/>
      </w:pPr>
      <w:rPr/>
    </w:lvl>
    <w:lvl w:ilvl="1">
      <w:start w:val="1"/>
      <w:numFmt w:val="decimal"/>
      <w:lvlText w:val="%1.%2."/>
      <w:lvlJc w:val="left"/>
      <w:pPr>
        <w:tabs>
          <w:tab w:val="num" w:pos="405"/>
        </w:tabs>
        <w:ind w:left="405" w:hanging="405"/>
      </w:pPr>
      <w:rPr/>
    </w:lvl>
    <w:lvl w:ilvl="2">
      <w:start w:val="1"/>
      <w:numFmt w:val="decimal"/>
      <w:lvlText w:val="%1.%2.%3."/>
      <w:lvlJc w:val="left"/>
      <w:pPr>
        <w:tabs>
          <w:tab w:val="num" w:pos="720"/>
        </w:tabs>
        <w:ind w:left="720" w:hanging="720"/>
      </w:pPr>
      <w:rPr>
        <w:b w:val="false"/>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
    <w:lvl w:ilvl="0">
      <w:start w:val="3"/>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5">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6fdc"/>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paragraph" w:styleId="Heading1">
    <w:name w:val="Heading 1"/>
    <w:basedOn w:val="Normal"/>
    <w:next w:val="Normal"/>
    <w:link w:val="Heading1Char"/>
    <w:qFormat/>
    <w:rsid w:val="00556fdc"/>
    <w:pPr>
      <w:keepNext w:val="true"/>
      <w:keepLines/>
      <w:tabs>
        <w:tab w:val="clear" w:pos="720"/>
        <w:tab w:val="left" w:pos="561" w:leader="none"/>
      </w:tabs>
      <w:spacing w:lineRule="auto" w:line="240" w:before="840" w:after="240"/>
      <w:outlineLvl w:val="0"/>
    </w:pPr>
    <w:rPr>
      <w:rFonts w:eastAsia="Calibri"/>
      <w:bCs/>
      <w:sz w:val="40"/>
      <w:szCs w:val="20"/>
      <w:lang w:eastAsia="lv-LV"/>
    </w:rPr>
  </w:style>
  <w:style w:type="paragraph" w:styleId="Heading2">
    <w:name w:val="Heading 2"/>
    <w:basedOn w:val="Normal"/>
    <w:next w:val="Normal"/>
    <w:qFormat/>
    <w:rsid w:val="00644f66"/>
    <w:pPr>
      <w:keepNext w:val="true"/>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56fdc"/>
    <w:pPr>
      <w:keepNext w:val="true"/>
      <w:keepLines/>
      <w:spacing w:before="200" w:after="0"/>
      <w:outlineLvl w:val="2"/>
    </w:pPr>
    <w:rPr>
      <w:rFonts w:ascii="Cambria" w:hAnsi="Cambria"/>
      <w:b/>
      <w:bCs/>
      <w:color w:val="4F81BD"/>
      <w:sz w:val="20"/>
      <w:szCs w:val="20"/>
      <w:lang w:eastAsia="lv-LV"/>
    </w:rPr>
  </w:style>
  <w:style w:type="paragraph" w:styleId="Heading4">
    <w:name w:val="Heading 4"/>
    <w:basedOn w:val="Normal"/>
    <w:next w:val="Normal"/>
    <w:link w:val="Heading4Char"/>
    <w:qFormat/>
    <w:rsid w:val="00556fdc"/>
    <w:pPr>
      <w:keepNext w:val="true"/>
      <w:keepLines/>
      <w:spacing w:before="200" w:after="0"/>
      <w:outlineLvl w:val="3"/>
    </w:pPr>
    <w:rPr>
      <w:rFonts w:ascii="Cambria" w:hAnsi="Cambria"/>
      <w:b/>
      <w:bCs/>
      <w:i/>
      <w:iCs/>
      <w:color w:val="4F81BD"/>
      <w:sz w:val="20"/>
      <w:szCs w:val="20"/>
      <w:lang w:eastAsia="lv-LV"/>
    </w:rPr>
  </w:style>
  <w:style w:type="paragraph" w:styleId="Heading5">
    <w:name w:val="Heading 5"/>
    <w:basedOn w:val="Normal"/>
    <w:next w:val="TextBody"/>
    <w:link w:val="Heading5Char"/>
    <w:qFormat/>
    <w:rsid w:val="00556fdc"/>
    <w:pPr>
      <w:suppressAutoHyphens w:val="true"/>
      <w:spacing w:lineRule="atLeast" w:line="100" w:before="240" w:after="60"/>
      <w:ind w:left="2232" w:hanging="792"/>
      <w:outlineLvl w:val="4"/>
    </w:pPr>
    <w:rPr>
      <w:rFonts w:eastAsia="Calibri"/>
      <w:b/>
      <w:bCs/>
      <w:i/>
      <w:iCs/>
      <w:kern w:val="2"/>
      <w:sz w:val="26"/>
      <w:szCs w:val="26"/>
      <w:lang w:val="en-GB" w:eastAsia="ar-SA"/>
    </w:rPr>
  </w:style>
  <w:style w:type="paragraph" w:styleId="Heading6">
    <w:name w:val="Heading 6"/>
    <w:basedOn w:val="Normal"/>
    <w:next w:val="Normal"/>
    <w:link w:val="Heading6Char"/>
    <w:qFormat/>
    <w:rsid w:val="00556fdc"/>
    <w:pPr>
      <w:keepNext w:val="true"/>
      <w:tabs>
        <w:tab w:val="clear" w:pos="720"/>
        <w:tab w:val="left" w:pos="1719" w:leader="none"/>
      </w:tabs>
      <w:spacing w:lineRule="auto" w:line="240"/>
      <w:ind w:left="1719" w:hanging="1152"/>
      <w:jc w:val="both"/>
      <w:outlineLvl w:val="5"/>
    </w:pPr>
    <w:rPr>
      <w:rFonts w:eastAsia="Calibri"/>
      <w:b/>
      <w:bCs/>
      <w:sz w:val="28"/>
      <w:szCs w:val="20"/>
      <w:lang w:eastAsia="lv-LV"/>
    </w:rPr>
  </w:style>
  <w:style w:type="paragraph" w:styleId="Heading7">
    <w:name w:val="Heading 7"/>
    <w:basedOn w:val="Normal"/>
    <w:next w:val="Normal"/>
    <w:link w:val="Heading7Char"/>
    <w:qFormat/>
    <w:rsid w:val="00556fdc"/>
    <w:pPr>
      <w:tabs>
        <w:tab w:val="clear" w:pos="720"/>
        <w:tab w:val="left" w:pos="1863" w:leader="none"/>
      </w:tabs>
      <w:spacing w:lineRule="auto" w:line="240" w:before="240" w:after="60"/>
      <w:ind w:left="1863" w:hanging="1296"/>
      <w:jc w:val="both"/>
      <w:outlineLvl w:val="6"/>
    </w:pPr>
    <w:rPr>
      <w:rFonts w:eastAsia="Calibri"/>
      <w:sz w:val="20"/>
      <w:szCs w:val="20"/>
      <w:lang w:eastAsia="lv-LV"/>
    </w:rPr>
  </w:style>
  <w:style w:type="paragraph" w:styleId="Heading8">
    <w:name w:val="Heading 8"/>
    <w:basedOn w:val="Normal"/>
    <w:next w:val="Normal"/>
    <w:link w:val="Heading8Char"/>
    <w:qFormat/>
    <w:rsid w:val="00556fdc"/>
    <w:pPr>
      <w:tabs>
        <w:tab w:val="clear" w:pos="720"/>
        <w:tab w:val="left" w:pos="2007" w:leader="none"/>
      </w:tabs>
      <w:spacing w:lineRule="auto" w:line="240" w:before="240" w:after="60"/>
      <w:ind w:left="2007" w:hanging="1440"/>
      <w:jc w:val="both"/>
      <w:outlineLvl w:val="7"/>
    </w:pPr>
    <w:rPr>
      <w:rFonts w:eastAsia="Calibri"/>
      <w:i/>
      <w:iCs/>
      <w:sz w:val="20"/>
      <w:szCs w:val="20"/>
      <w:lang w:eastAsia="lv-LV"/>
    </w:rPr>
  </w:style>
  <w:style w:type="paragraph" w:styleId="Heading9">
    <w:name w:val="Heading 9"/>
    <w:basedOn w:val="Normal"/>
    <w:next w:val="Normal"/>
    <w:link w:val="Heading9Char"/>
    <w:qFormat/>
    <w:rsid w:val="00556fdc"/>
    <w:pPr>
      <w:tabs>
        <w:tab w:val="clear" w:pos="720"/>
        <w:tab w:val="left" w:pos="2151" w:leader="none"/>
      </w:tabs>
      <w:spacing w:lineRule="auto" w:line="240" w:before="240" w:after="60"/>
      <w:ind w:left="2151" w:hanging="1584"/>
      <w:jc w:val="both"/>
      <w:outlineLvl w:val="8"/>
    </w:pPr>
    <w:rPr>
      <w:rFonts w:ascii="Arial" w:hAnsi="Arial"/>
      <w:sz w:val="22"/>
      <w:szCs w:val="22"/>
      <w:lang w:eastAsia="lv-LV"/>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locked/>
    <w:rsid w:val="00556fdc"/>
    <w:rPr>
      <w:rFonts w:eastAsia="Calibri"/>
      <w:bCs/>
      <w:sz w:val="40"/>
      <w:lang w:val="lv-LV" w:eastAsia="lv-LV" w:bidi="ar-SA"/>
    </w:rPr>
  </w:style>
  <w:style w:type="character" w:styleId="Heading3Char" w:customStyle="1">
    <w:name w:val="Heading 3 Char"/>
    <w:link w:val="Heading3"/>
    <w:semiHidden/>
    <w:qFormat/>
    <w:locked/>
    <w:rsid w:val="00556fdc"/>
    <w:rPr>
      <w:rFonts w:ascii="Cambria" w:hAnsi="Cambria"/>
      <w:b/>
      <w:bCs/>
      <w:color w:val="4F81BD"/>
      <w:lang w:val="lv-LV" w:eastAsia="lv-LV" w:bidi="ar-SA"/>
    </w:rPr>
  </w:style>
  <w:style w:type="character" w:styleId="Heading4Char" w:customStyle="1">
    <w:name w:val="Heading 4 Char"/>
    <w:link w:val="Heading4"/>
    <w:semiHidden/>
    <w:qFormat/>
    <w:locked/>
    <w:rsid w:val="00556fdc"/>
    <w:rPr>
      <w:rFonts w:ascii="Cambria" w:hAnsi="Cambria"/>
      <w:b/>
      <w:bCs/>
      <w:i/>
      <w:iCs/>
      <w:color w:val="4F81BD"/>
      <w:lang w:val="lv-LV" w:eastAsia="lv-LV" w:bidi="ar-SA"/>
    </w:rPr>
  </w:style>
  <w:style w:type="character" w:styleId="BodyTextChar" w:customStyle="1">
    <w:name w:val="Body Text Char"/>
    <w:semiHidden/>
    <w:qFormat/>
    <w:locked/>
    <w:rsid w:val="00556fdc"/>
    <w:rPr>
      <w:lang w:val="lv-LV" w:eastAsia="lv-LV" w:bidi="ar-SA"/>
    </w:rPr>
  </w:style>
  <w:style w:type="character" w:styleId="Heading5Char" w:customStyle="1">
    <w:name w:val="Heading 5 Char"/>
    <w:link w:val="Heading5"/>
    <w:qFormat/>
    <w:locked/>
    <w:rsid w:val="00556fdc"/>
    <w:rPr>
      <w:rFonts w:eastAsia="Calibri"/>
      <w:b/>
      <w:bCs/>
      <w:i/>
      <w:iCs/>
      <w:kern w:val="2"/>
      <w:sz w:val="26"/>
      <w:szCs w:val="26"/>
      <w:lang w:val="en-GB" w:eastAsia="ar-SA" w:bidi="ar-SA"/>
    </w:rPr>
  </w:style>
  <w:style w:type="character" w:styleId="Heading6Char" w:customStyle="1">
    <w:name w:val="Heading 6 Char"/>
    <w:link w:val="Heading6"/>
    <w:qFormat/>
    <w:locked/>
    <w:rsid w:val="00556fdc"/>
    <w:rPr>
      <w:rFonts w:eastAsia="Calibri"/>
      <w:b/>
      <w:bCs/>
      <w:sz w:val="28"/>
      <w:lang w:val="lv-LV" w:eastAsia="lv-LV" w:bidi="ar-SA"/>
    </w:rPr>
  </w:style>
  <w:style w:type="character" w:styleId="Heading7Char" w:customStyle="1">
    <w:name w:val="Heading 7 Char"/>
    <w:link w:val="Heading7"/>
    <w:qFormat/>
    <w:locked/>
    <w:rsid w:val="00556fdc"/>
    <w:rPr>
      <w:rFonts w:eastAsia="Calibri"/>
      <w:lang w:val="lv-LV" w:eastAsia="lv-LV" w:bidi="ar-SA"/>
    </w:rPr>
  </w:style>
  <w:style w:type="character" w:styleId="Heading8Char" w:customStyle="1">
    <w:name w:val="Heading 8 Char"/>
    <w:link w:val="Heading8"/>
    <w:qFormat/>
    <w:locked/>
    <w:rsid w:val="00556fdc"/>
    <w:rPr>
      <w:rFonts w:eastAsia="Calibri"/>
      <w:i/>
      <w:iCs/>
      <w:lang w:val="lv-LV" w:eastAsia="lv-LV" w:bidi="ar-SA"/>
    </w:rPr>
  </w:style>
  <w:style w:type="character" w:styleId="Heading9Char" w:customStyle="1">
    <w:name w:val="Heading 9 Char"/>
    <w:link w:val="Heading9"/>
    <w:qFormat/>
    <w:locked/>
    <w:rsid w:val="00556fdc"/>
    <w:rPr>
      <w:rFonts w:ascii="Arial" w:hAnsi="Arial"/>
      <w:sz w:val="22"/>
      <w:szCs w:val="22"/>
      <w:lang w:val="lv-LV" w:eastAsia="lv-LV" w:bidi="ar-SA"/>
    </w:rPr>
  </w:style>
  <w:style w:type="character" w:styleId="SubtitleChar" w:customStyle="1">
    <w:name w:val="Subtitle Char"/>
    <w:link w:val="Subtitle"/>
    <w:qFormat/>
    <w:locked/>
    <w:rsid w:val="00556fdc"/>
    <w:rPr>
      <w:rFonts w:eastAsia="Calibri"/>
      <w:b/>
      <w:lang w:val="fr-BE" w:eastAsia="lv-LV" w:bidi="ar-SA"/>
    </w:rPr>
  </w:style>
  <w:style w:type="character" w:styleId="BodyText3Char" w:customStyle="1">
    <w:name w:val="Body Text 3 Char"/>
    <w:link w:val="BodyText3"/>
    <w:qFormat/>
    <w:locked/>
    <w:rsid w:val="00556fdc"/>
    <w:rPr>
      <w:rFonts w:eastAsia="Calibri"/>
      <w:b/>
      <w:sz w:val="16"/>
      <w:szCs w:val="16"/>
      <w:lang w:val="lv-LV" w:eastAsia="lv-LV" w:bidi="ar-SA"/>
    </w:rPr>
  </w:style>
  <w:style w:type="character" w:styleId="InternetLink">
    <w:name w:val="Hyperlink"/>
    <w:rsid w:val="00556fdc"/>
    <w:rPr>
      <w:rFonts w:cs="Times New Roman"/>
      <w:color w:val="0000FF"/>
      <w:u w:val="single"/>
    </w:rPr>
  </w:style>
  <w:style w:type="character" w:styleId="BodyTextIndentChar" w:customStyle="1">
    <w:name w:val="Body Text Indent Char"/>
    <w:qFormat/>
    <w:locked/>
    <w:rsid w:val="00556fdc"/>
    <w:rPr>
      <w:lang w:val="lv-LV" w:eastAsia="lv-LV" w:bidi="ar-SA"/>
    </w:rPr>
  </w:style>
  <w:style w:type="character" w:styleId="SubtleEmphasis">
    <w:name w:val="Subtle Emphasis"/>
    <w:qFormat/>
    <w:rsid w:val="00556fdc"/>
    <w:rPr>
      <w:rFonts w:cs="Times New Roman"/>
      <w:i/>
      <w:color w:val="808080"/>
    </w:rPr>
  </w:style>
  <w:style w:type="character" w:styleId="Pamatteksts1" w:customStyle="1">
    <w:name w:val="pamatteksts1"/>
    <w:qFormat/>
    <w:rsid w:val="00556fdc"/>
    <w:rPr>
      <w:rFonts w:ascii="Arial" w:hAnsi="Arial"/>
      <w:sz w:val="18"/>
    </w:rPr>
  </w:style>
  <w:style w:type="character" w:styleId="CommentTextChar" w:customStyle="1">
    <w:name w:val="Comment Text Char"/>
    <w:semiHidden/>
    <w:qFormat/>
    <w:locked/>
    <w:rsid w:val="00556fdc"/>
    <w:rPr>
      <w:lang w:val="lv-LV" w:eastAsia="lv-LV" w:bidi="ar-SA"/>
    </w:rPr>
  </w:style>
  <w:style w:type="character" w:styleId="CommentSubjectChar" w:customStyle="1">
    <w:name w:val="Comment Subject Char"/>
    <w:semiHidden/>
    <w:qFormat/>
    <w:locked/>
    <w:rsid w:val="00556fdc"/>
    <w:rPr>
      <w:b/>
      <w:bCs/>
      <w:lang w:val="lv-LV" w:eastAsia="lv-LV" w:bidi="ar-SA"/>
    </w:rPr>
  </w:style>
  <w:style w:type="character" w:styleId="BalloonTextChar" w:customStyle="1">
    <w:name w:val="Balloon Text Char"/>
    <w:link w:val="BalloonText"/>
    <w:semiHidden/>
    <w:qFormat/>
    <w:locked/>
    <w:rsid w:val="00556fdc"/>
    <w:rPr>
      <w:rFonts w:ascii="Tahoma" w:hAnsi="Tahoma"/>
      <w:sz w:val="16"/>
      <w:szCs w:val="16"/>
      <w:lang w:val="lv-LV" w:eastAsia="lv-LV" w:bidi="ar-SA"/>
    </w:rPr>
  </w:style>
  <w:style w:type="character" w:styleId="HeaderChar" w:customStyle="1">
    <w:name w:val="Header Char"/>
    <w:link w:val="Header"/>
    <w:semiHidden/>
    <w:qFormat/>
    <w:locked/>
    <w:rsid w:val="00556fdc"/>
    <w:rPr>
      <w:lang w:val="lv-LV" w:eastAsia="lv-LV" w:bidi="ar-SA"/>
    </w:rPr>
  </w:style>
  <w:style w:type="character" w:styleId="FooterChar" w:customStyle="1">
    <w:name w:val="Footer Char"/>
    <w:link w:val="Footer"/>
    <w:uiPriority w:val="99"/>
    <w:qFormat/>
    <w:locked/>
    <w:rsid w:val="00556fdc"/>
    <w:rPr>
      <w:lang w:val="lv-LV" w:eastAsia="lv-LV" w:bidi="ar-SA"/>
    </w:rPr>
  </w:style>
  <w:style w:type="character" w:styleId="FootnoteCharacters">
    <w:name w:val="Footnote Characters"/>
    <w:qFormat/>
    <w:rsid w:val="00556fdc"/>
    <w:rPr>
      <w:rFonts w:cs="Times New Roman"/>
      <w:vertAlign w:val="superscript"/>
    </w:rPr>
  </w:style>
  <w:style w:type="character" w:styleId="FootnoteAnchor">
    <w:name w:val="Footnote Reference"/>
    <w:rPr>
      <w:rFonts w:cs="Times New Roman"/>
      <w:vertAlign w:val="superscript"/>
    </w:rPr>
  </w:style>
  <w:style w:type="character" w:styleId="FootnoteReference1" w:customStyle="1">
    <w:name w:val="Footnote Reference1"/>
    <w:qFormat/>
    <w:rsid w:val="00556fdc"/>
    <w:rPr>
      <w:vertAlign w:val="superscript"/>
    </w:rPr>
  </w:style>
  <w:style w:type="character" w:styleId="FootnoteTextChar" w:customStyle="1">
    <w:name w:val="Footnote Text Char"/>
    <w:qFormat/>
    <w:locked/>
    <w:rsid w:val="00556fdc"/>
    <w:rPr>
      <w:rFonts w:eastAsia="Calibri"/>
      <w:kern w:val="2"/>
      <w:lang w:val="lv-LV" w:eastAsia="ar-SA" w:bidi="ar-SA"/>
    </w:rPr>
  </w:style>
  <w:style w:type="character" w:styleId="TitleChar" w:customStyle="1">
    <w:name w:val="Title Char"/>
    <w:link w:val="Title"/>
    <w:qFormat/>
    <w:locked/>
    <w:rsid w:val="00556fdc"/>
    <w:rPr>
      <w:rFonts w:eastAsia="Calibri"/>
      <w:b/>
      <w:bCs/>
      <w:kern w:val="2"/>
      <w:sz w:val="25"/>
      <w:szCs w:val="25"/>
      <w:lang w:val="lv-LV" w:eastAsia="ar-SA" w:bidi="ar-SA"/>
    </w:rPr>
  </w:style>
  <w:style w:type="character" w:styleId="FontStyle14" w:customStyle="1">
    <w:name w:val="Font Style14"/>
    <w:qFormat/>
    <w:rsid w:val="00556fdc"/>
    <w:rPr>
      <w:rFonts w:ascii="Times New Roman" w:hAnsi="Times New Roman"/>
      <w:sz w:val="22"/>
    </w:rPr>
  </w:style>
  <w:style w:type="character" w:styleId="FontStyle12" w:customStyle="1">
    <w:name w:val="Font Style12"/>
    <w:qFormat/>
    <w:rsid w:val="00556fdc"/>
    <w:rPr>
      <w:rFonts w:ascii="Times New Roman" w:hAnsi="Times New Roman"/>
      <w:b/>
      <w:sz w:val="22"/>
    </w:rPr>
  </w:style>
  <w:style w:type="character" w:styleId="FontStyle13" w:customStyle="1">
    <w:name w:val="Font Style13"/>
    <w:qFormat/>
    <w:rsid w:val="00556fdc"/>
    <w:rPr>
      <w:rFonts w:ascii="Times New Roman" w:hAnsi="Times New Roman"/>
      <w:i/>
      <w:sz w:val="22"/>
    </w:rPr>
  </w:style>
  <w:style w:type="character" w:styleId="Pagenumber">
    <w:name w:val="page number"/>
    <w:basedOn w:val="DefaultParagraphFont"/>
    <w:qFormat/>
    <w:rsid w:val="00556fdc"/>
    <w:rPr/>
  </w:style>
  <w:style w:type="character" w:styleId="CharChar3" w:customStyle="1">
    <w:name w:val="Char Char3"/>
    <w:qFormat/>
    <w:rsid w:val="00556fdc"/>
    <w:rPr>
      <w:sz w:val="24"/>
      <w:lang w:val="lv-LV" w:eastAsia="en-US" w:bidi="ar-SA"/>
    </w:rPr>
  </w:style>
  <w:style w:type="character" w:styleId="2ndlevelprovisionChar" w:customStyle="1">
    <w:name w:val="2nd level (provision) Char"/>
    <w:link w:val="2ndlevelprovision"/>
    <w:qFormat/>
    <w:rsid w:val="00556fdc"/>
    <w:rPr>
      <w:rFonts w:eastAsia="MS Mincho"/>
      <w:sz w:val="28"/>
      <w:szCs w:val="28"/>
      <w:lang w:eastAsia="en-US"/>
    </w:rPr>
  </w:style>
  <w:style w:type="character" w:styleId="FontStyle88" w:customStyle="1">
    <w:name w:val="Font Style88"/>
    <w:qFormat/>
    <w:rsid w:val="008b2341"/>
    <w:rPr>
      <w:rFonts w:ascii="Arial Narrow" w:hAnsi="Arial Narrow" w:cs="Arial Narrow"/>
      <w:sz w:val="22"/>
      <w:szCs w:val="22"/>
    </w:rPr>
  </w:style>
  <w:style w:type="character" w:styleId="CharChar2" w:customStyle="1">
    <w:name w:val="Char Char2"/>
    <w:qFormat/>
    <w:locked/>
    <w:rsid w:val="00605595"/>
    <w:rPr>
      <w:lang w:val="lv-LV" w:eastAsia="lv-LV" w:bidi="ar-SA"/>
    </w:rPr>
  </w:style>
  <w:style w:type="character" w:styleId="CharCharChar" w:customStyle="1">
    <w:name w:val="Char Char Char"/>
    <w:qFormat/>
    <w:locked/>
    <w:rsid w:val="00d3375c"/>
    <w:rPr>
      <w:rFonts w:ascii="Arial" w:hAnsi="Arial" w:cs="Arial"/>
      <w:sz w:val="24"/>
      <w:szCs w:val="24"/>
      <w:lang w:val="lv-LV" w:eastAsia="en-US" w:bidi="ar-SA"/>
    </w:rPr>
  </w:style>
  <w:style w:type="character" w:styleId="Annotationreference">
    <w:name w:val="annotation reference"/>
    <w:semiHidden/>
    <w:qFormat/>
    <w:rsid w:val="006b5b63"/>
    <w:rPr>
      <w:sz w:val="16"/>
      <w:szCs w:val="16"/>
    </w:rPr>
  </w:style>
  <w:style w:type="character" w:styleId="CharChar1" w:customStyle="1">
    <w:name w:val="Char Char1"/>
    <w:qFormat/>
    <w:locked/>
    <w:rsid w:val="006d516b"/>
    <w:rPr>
      <w:rFonts w:ascii="Calibri" w:hAnsi="Calibri" w:eastAsia="Calibri"/>
      <w:kern w:val="2"/>
      <w:lang w:val="lv-LV" w:eastAsia="ar-SA" w:bidi="ar-SA"/>
    </w:rPr>
  </w:style>
  <w:style w:type="character" w:styleId="ListParagraphChar" w:customStyle="1">
    <w:name w:val="List Paragraph Char"/>
    <w:link w:val="ListParagraph"/>
    <w:uiPriority w:val="34"/>
    <w:qFormat/>
    <w:rsid w:val="0059543b"/>
    <w:rPr>
      <w:sz w:val="24"/>
      <w:szCs w:val="24"/>
      <w:lang w:eastAsia="en-US"/>
    </w:rPr>
  </w:style>
  <w:style w:type="character" w:styleId="Mention1" w:customStyle="1">
    <w:name w:val="Mention1"/>
    <w:uiPriority w:val="99"/>
    <w:semiHidden/>
    <w:unhideWhenUsed/>
    <w:qFormat/>
    <w:rsid w:val="00f50a52"/>
    <w:rPr>
      <w:color w:val="2B579A"/>
      <w:shd w:fill="E6E6E6" w:val="clear"/>
    </w:rPr>
  </w:style>
  <w:style w:type="character" w:styleId="UnresolvedMention1" w:customStyle="1">
    <w:name w:val="Unresolved Mention1"/>
    <w:basedOn w:val="DefaultParagraphFont"/>
    <w:uiPriority w:val="99"/>
    <w:semiHidden/>
    <w:unhideWhenUsed/>
    <w:qFormat/>
    <w:rsid w:val="001a4711"/>
    <w:rPr>
      <w:color w:val="605E5C"/>
      <w:shd w:fill="E1DFDD" w:val="clear"/>
    </w:rPr>
  </w:style>
  <w:style w:type="character" w:styleId="WW8Num7z0">
    <w:name w:val="WW8Num7z0"/>
    <w:qFormat/>
    <w:rPr/>
  </w:style>
  <w:style w:type="character" w:styleId="WW8Num6z0">
    <w:name w:val="WW8Num6z0"/>
    <w:qFormat/>
    <w:rPr/>
  </w:style>
  <w:style w:type="character" w:styleId="WW8Num6z2">
    <w:name w:val="WW8Num6z2"/>
    <w:qFormat/>
    <w:rPr>
      <w:b w:val="false"/>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11z0">
    <w:name w:val="WW8Num11z0"/>
    <w:qFormat/>
    <w:rPr>
      <w:b/>
    </w:rPr>
  </w:style>
  <w:style w:type="character" w:styleId="WW8Num11z1">
    <w:name w:val="WW8Num11z1"/>
    <w:qFormat/>
    <w:rPr/>
  </w:style>
  <w:style w:type="character" w:styleId="WW8Num11z2">
    <w:name w:val="WW8Num11z2"/>
    <w:qFormat/>
    <w:rPr>
      <w:b w:val="false"/>
    </w:rPr>
  </w:style>
  <w:style w:type="character" w:styleId="WW8Num10z0">
    <w:name w:val="WW8Num10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56fdc"/>
    <w:pPr>
      <w:spacing w:before="0" w:after="120"/>
    </w:pPr>
    <w:rPr>
      <w:sz w:val="20"/>
      <w:szCs w:val="20"/>
      <w:lang w:eastAsia="lv-LV"/>
    </w:rPr>
  </w:style>
  <w:style w:type="paragraph" w:styleId="List">
    <w:name w:val="List"/>
    <w:basedOn w:val="Normal"/>
    <w:rsid w:val="00556fdc"/>
    <w:pPr>
      <w:tabs>
        <w:tab w:val="clear" w:pos="720"/>
        <w:tab w:val="left" w:pos="360" w:leader="none"/>
      </w:tabs>
      <w:spacing w:lineRule="auto" w:line="240" w:before="120" w:after="0"/>
      <w:ind w:left="360" w:hanging="360"/>
      <w:jc w:val="both"/>
    </w:pPr>
    <w:rPr>
      <w:rFonts w:eastAsia="Calibri"/>
      <w:szCs w:val="20"/>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556fdc"/>
    <w:pPr>
      <w:spacing w:before="0" w:after="0"/>
      <w:ind w:left="720" w:hanging="0"/>
      <w:contextualSpacing/>
    </w:pPr>
    <w:rPr>
      <w:lang w:val="x-none"/>
    </w:rPr>
  </w:style>
  <w:style w:type="paragraph" w:styleId="Subtitle">
    <w:name w:val="Subtitle"/>
    <w:basedOn w:val="Normal"/>
    <w:link w:val="SubtitleChar"/>
    <w:qFormat/>
    <w:rsid w:val="00556fdc"/>
    <w:pPr>
      <w:spacing w:lineRule="auto" w:line="240"/>
      <w:jc w:val="center"/>
    </w:pPr>
    <w:rPr>
      <w:rFonts w:eastAsia="Calibri"/>
      <w:b/>
      <w:sz w:val="20"/>
      <w:szCs w:val="20"/>
      <w:lang w:val="fr-BE" w:eastAsia="lv-LV"/>
    </w:rPr>
  </w:style>
  <w:style w:type="paragraph" w:styleId="BodyText3">
    <w:name w:val="Body Text 3"/>
    <w:basedOn w:val="Normal"/>
    <w:link w:val="BodyText3Char"/>
    <w:qFormat/>
    <w:rsid w:val="00556fdc"/>
    <w:pPr>
      <w:spacing w:lineRule="auto" w:line="240" w:before="0" w:after="120"/>
    </w:pPr>
    <w:rPr>
      <w:rFonts w:eastAsia="Calibri"/>
      <w:b/>
      <w:sz w:val="16"/>
      <w:szCs w:val="16"/>
      <w:lang w:eastAsia="lv-LV"/>
    </w:rPr>
  </w:style>
  <w:style w:type="paragraph" w:styleId="TextBodyIndent">
    <w:name w:val="Body Text Indent"/>
    <w:basedOn w:val="Normal"/>
    <w:link w:val="BodyTextIndentChar"/>
    <w:rsid w:val="00556fdc"/>
    <w:pPr>
      <w:spacing w:before="0" w:after="120"/>
      <w:ind w:left="283" w:hanging="0"/>
    </w:pPr>
    <w:rPr>
      <w:sz w:val="20"/>
      <w:szCs w:val="20"/>
      <w:lang w:eastAsia="lv-LV"/>
    </w:rPr>
  </w:style>
  <w:style w:type="paragraph" w:styleId="NormalWeb">
    <w:name w:val="Normal (Web)"/>
    <w:basedOn w:val="Normal"/>
    <w:uiPriority w:val="99"/>
    <w:qFormat/>
    <w:rsid w:val="00556fdc"/>
    <w:pPr>
      <w:spacing w:lineRule="auto" w:line="240" w:beforeAutospacing="1" w:afterAutospacing="1"/>
    </w:pPr>
    <w:rPr>
      <w:rFonts w:eastAsia="Calibri"/>
      <w:lang w:val="en-GB"/>
    </w:rPr>
  </w:style>
  <w:style w:type="paragraph" w:styleId="Annotationtext">
    <w:name w:val="annotation text"/>
    <w:basedOn w:val="Normal"/>
    <w:link w:val="CommentTextChar"/>
    <w:semiHidden/>
    <w:qFormat/>
    <w:rsid w:val="00556fdc"/>
    <w:pPr>
      <w:spacing w:lineRule="auto" w:line="240"/>
    </w:pPr>
    <w:rPr>
      <w:sz w:val="20"/>
      <w:szCs w:val="20"/>
      <w:lang w:eastAsia="lv-LV"/>
    </w:rPr>
  </w:style>
  <w:style w:type="paragraph" w:styleId="Annotationsubject">
    <w:name w:val="annotation subject"/>
    <w:basedOn w:val="Annotationtext"/>
    <w:next w:val="Annotationtext"/>
    <w:link w:val="CommentSubjectChar"/>
    <w:semiHidden/>
    <w:qFormat/>
    <w:rsid w:val="00556fdc"/>
    <w:pPr/>
    <w:rPr>
      <w:b/>
      <w:bCs/>
    </w:rPr>
  </w:style>
  <w:style w:type="paragraph" w:styleId="BalloonText">
    <w:name w:val="Balloon Text"/>
    <w:basedOn w:val="Normal"/>
    <w:link w:val="BalloonTextChar"/>
    <w:semiHidden/>
    <w:qFormat/>
    <w:rsid w:val="00556fdc"/>
    <w:pPr>
      <w:spacing w:lineRule="auto" w:line="240"/>
    </w:pPr>
    <w:rPr>
      <w:rFonts w:ascii="Tahoma" w:hAnsi="Tahoma"/>
      <w:sz w:val="16"/>
      <w:szCs w:val="16"/>
      <w:lang w:eastAsia="lv-LV"/>
    </w:rPr>
  </w:style>
  <w:style w:type="paragraph" w:styleId="HeaderandFooter">
    <w:name w:val="Header and Footer"/>
    <w:basedOn w:val="Normal"/>
    <w:qFormat/>
    <w:pPr/>
    <w:rPr/>
  </w:style>
  <w:style w:type="paragraph" w:styleId="Header">
    <w:name w:val="Header"/>
    <w:basedOn w:val="Normal"/>
    <w:link w:val="HeaderChar"/>
    <w:rsid w:val="00556fdc"/>
    <w:pPr>
      <w:tabs>
        <w:tab w:val="clear" w:pos="720"/>
        <w:tab w:val="center" w:pos="4153" w:leader="none"/>
        <w:tab w:val="right" w:pos="8306" w:leader="none"/>
      </w:tabs>
      <w:spacing w:lineRule="auto" w:line="240"/>
    </w:pPr>
    <w:rPr>
      <w:sz w:val="20"/>
      <w:szCs w:val="20"/>
      <w:lang w:eastAsia="lv-LV"/>
    </w:rPr>
  </w:style>
  <w:style w:type="paragraph" w:styleId="Footer">
    <w:name w:val="Footer"/>
    <w:basedOn w:val="Normal"/>
    <w:link w:val="FooterChar"/>
    <w:uiPriority w:val="99"/>
    <w:rsid w:val="00556fdc"/>
    <w:pPr>
      <w:tabs>
        <w:tab w:val="clear" w:pos="720"/>
        <w:tab w:val="center" w:pos="4153" w:leader="none"/>
        <w:tab w:val="right" w:pos="8306" w:leader="none"/>
      </w:tabs>
      <w:spacing w:lineRule="auto" w:line="240"/>
    </w:pPr>
    <w:rPr>
      <w:sz w:val="20"/>
      <w:szCs w:val="20"/>
      <w:lang w:eastAsia="lv-LV"/>
    </w:rPr>
  </w:style>
  <w:style w:type="paragraph" w:styleId="Footnote">
    <w:name w:val="Footnote Text"/>
    <w:basedOn w:val="Normal"/>
    <w:link w:val="FootnoteTextChar"/>
    <w:rsid w:val="00556fdc"/>
    <w:pPr>
      <w:suppressLineNumbers/>
      <w:suppressAutoHyphens w:val="true"/>
      <w:spacing w:before="0" w:after="200"/>
      <w:ind w:left="283" w:hanging="283"/>
    </w:pPr>
    <w:rPr>
      <w:rFonts w:eastAsia="Calibri"/>
      <w:kern w:val="2"/>
      <w:sz w:val="20"/>
      <w:szCs w:val="20"/>
      <w:lang w:eastAsia="ar-SA"/>
    </w:rPr>
  </w:style>
  <w:style w:type="paragraph" w:styleId="Punkts" w:customStyle="1">
    <w:name w:val="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Rindkopa" w:customStyle="1">
    <w:name w:val="Rindkopa"/>
    <w:basedOn w:val="Normal"/>
    <w:qFormat/>
    <w:rsid w:val="00556fdc"/>
    <w:pPr>
      <w:suppressAutoHyphens w:val="true"/>
      <w:spacing w:lineRule="atLeast" w:line="100"/>
      <w:ind w:left="851" w:hanging="0"/>
      <w:jc w:val="both"/>
    </w:pPr>
    <w:rPr>
      <w:rFonts w:ascii="Arial" w:hAnsi="Arial" w:eastAsia="Calibri" w:cs="Arial"/>
      <w:kern w:val="2"/>
      <w:sz w:val="20"/>
      <w:szCs w:val="20"/>
      <w:lang w:eastAsia="ar-SA"/>
    </w:rPr>
  </w:style>
  <w:style w:type="paragraph" w:styleId="Apakpunkts" w:customStyle="1">
    <w:name w:val="Apakš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Title">
    <w:name w:val="Title"/>
    <w:basedOn w:val="Normal"/>
    <w:next w:val="Subtitle"/>
    <w:link w:val="TitleChar"/>
    <w:qFormat/>
    <w:rsid w:val="00556fdc"/>
    <w:pPr>
      <w:suppressAutoHyphens w:val="true"/>
      <w:spacing w:lineRule="atLeast" w:line="100"/>
      <w:jc w:val="center"/>
    </w:pPr>
    <w:rPr>
      <w:rFonts w:eastAsia="Calibri"/>
      <w:b/>
      <w:bCs/>
      <w:kern w:val="2"/>
      <w:sz w:val="25"/>
      <w:szCs w:val="25"/>
      <w:lang w:eastAsia="ar-SA"/>
    </w:rPr>
  </w:style>
  <w:style w:type="paragraph" w:styleId="Paragrfs" w:customStyle="1">
    <w:name w:val="Paragrāfs"/>
    <w:basedOn w:val="Normal"/>
    <w:qFormat/>
    <w:rsid w:val="00556fdc"/>
    <w:pPr>
      <w:suppressAutoHyphens w:val="true"/>
      <w:spacing w:lineRule="atLeast" w:line="100"/>
      <w:ind w:left="851" w:hanging="851"/>
      <w:jc w:val="both"/>
    </w:pPr>
    <w:rPr>
      <w:rFonts w:ascii="Arial" w:hAnsi="Arial" w:eastAsia="Calibri" w:cs="Arial"/>
      <w:kern w:val="2"/>
      <w:sz w:val="20"/>
      <w:szCs w:val="20"/>
      <w:lang w:eastAsia="ar-SA"/>
    </w:rPr>
  </w:style>
  <w:style w:type="paragraph" w:styleId="Paragrfs1" w:customStyle="1">
    <w:name w:val="paragrfs"/>
    <w:basedOn w:val="Normal"/>
    <w:qFormat/>
    <w:rsid w:val="00556fdc"/>
    <w:pPr>
      <w:spacing w:lineRule="auto" w:line="240" w:beforeAutospacing="1" w:afterAutospacing="1"/>
    </w:pPr>
    <w:rPr>
      <w:rFonts w:eastAsia="Calibri"/>
      <w:lang w:eastAsia="lv-LV"/>
    </w:rPr>
  </w:style>
  <w:style w:type="paragraph" w:styleId="Naisf" w:customStyle="1">
    <w:name w:val="naisf"/>
    <w:basedOn w:val="Normal"/>
    <w:autoRedefine/>
    <w:qFormat/>
    <w:rsid w:val="00556fdc"/>
    <w:pPr>
      <w:numPr>
        <w:ilvl w:val="0"/>
        <w:numId w:val="1"/>
      </w:numPr>
      <w:spacing w:lineRule="auto" w:line="240"/>
      <w:jc w:val="both"/>
    </w:pPr>
    <w:rPr>
      <w:rFonts w:eastAsia="Calibri"/>
      <w:color w:val="FF0000"/>
    </w:rPr>
  </w:style>
  <w:style w:type="paragraph" w:styleId="Style5" w:customStyle="1">
    <w:name w:val="Style5"/>
    <w:basedOn w:val="Normal"/>
    <w:qFormat/>
    <w:rsid w:val="00556fdc"/>
    <w:pPr>
      <w:widowControl w:val="false"/>
      <w:suppressAutoHyphens w:val="true"/>
      <w:spacing w:lineRule="exact" w:line="277"/>
      <w:jc w:val="both"/>
    </w:pPr>
    <w:rPr>
      <w:lang w:val="en-US" w:eastAsia="ar-SA"/>
    </w:rPr>
  </w:style>
  <w:style w:type="paragraph" w:styleId="Style6" w:customStyle="1">
    <w:name w:val="Style6"/>
    <w:basedOn w:val="Normal"/>
    <w:qFormat/>
    <w:rsid w:val="00556fdc"/>
    <w:pPr>
      <w:widowControl w:val="false"/>
      <w:suppressAutoHyphens w:val="true"/>
      <w:spacing w:lineRule="exact" w:line="286"/>
      <w:ind w:hanging="358"/>
    </w:pPr>
    <w:rPr>
      <w:lang w:val="en-US" w:eastAsia="ar-SA"/>
    </w:rPr>
  </w:style>
  <w:style w:type="paragraph" w:styleId="Style7" w:customStyle="1">
    <w:name w:val="Style7"/>
    <w:basedOn w:val="Normal"/>
    <w:qFormat/>
    <w:rsid w:val="00556fdc"/>
    <w:pPr>
      <w:widowControl w:val="false"/>
      <w:suppressAutoHyphens w:val="true"/>
      <w:spacing w:lineRule="exact" w:line="278"/>
      <w:ind w:hanging="706"/>
    </w:pPr>
    <w:rPr>
      <w:lang w:val="en-US" w:eastAsia="ar-SA"/>
    </w:rPr>
  </w:style>
  <w:style w:type="paragraph" w:styleId="Style8" w:customStyle="1">
    <w:name w:val="Style8"/>
    <w:basedOn w:val="Normal"/>
    <w:qFormat/>
    <w:rsid w:val="00556fdc"/>
    <w:pPr>
      <w:widowControl w:val="false"/>
      <w:suppressAutoHyphens w:val="true"/>
      <w:spacing w:lineRule="exact" w:line="281"/>
      <w:jc w:val="both"/>
    </w:pPr>
    <w:rPr>
      <w:lang w:val="en-US" w:eastAsia="ar-SA"/>
    </w:rPr>
  </w:style>
  <w:style w:type="paragraph" w:styleId="Style11" w:customStyle="1">
    <w:name w:val="Style1"/>
    <w:basedOn w:val="Normal"/>
    <w:qFormat/>
    <w:rsid w:val="00556fdc"/>
    <w:pPr>
      <w:widowControl w:val="false"/>
      <w:suppressAutoHyphens w:val="true"/>
      <w:spacing w:lineRule="exact" w:line="254"/>
      <w:jc w:val="right"/>
    </w:pPr>
    <w:rPr>
      <w:lang w:val="en-US" w:eastAsia="ar-SA"/>
    </w:rPr>
  </w:style>
  <w:style w:type="paragraph" w:styleId="2ndlevelprovision" w:customStyle="1">
    <w:name w:val="2nd level (provision)"/>
    <w:basedOn w:val="Normal"/>
    <w:link w:val="2ndlevelprovisionChar"/>
    <w:qFormat/>
    <w:rsid w:val="00556fdc"/>
    <w:pPr>
      <w:numPr>
        <w:ilvl w:val="0"/>
        <w:numId w:val="2"/>
      </w:numPr>
      <w:tabs>
        <w:tab w:val="clear" w:pos="720"/>
        <w:tab w:val="left" w:pos="1080" w:leader="none"/>
      </w:tabs>
      <w:overflowPunct w:val="true"/>
      <w:spacing w:lineRule="auto" w:line="240" w:before="0" w:after="120"/>
      <w:jc w:val="both"/>
      <w:textAlignment w:val="baseline"/>
    </w:pPr>
    <w:rPr>
      <w:rFonts w:eastAsia="MS Mincho"/>
      <w:sz w:val="28"/>
      <w:szCs w:val="28"/>
      <w:lang w:val="x-none"/>
    </w:rPr>
  </w:style>
  <w:style w:type="paragraph" w:styleId="Pamatteksts31" w:customStyle="1">
    <w:name w:val="Pamatteksts 31"/>
    <w:basedOn w:val="Normal"/>
    <w:qFormat/>
    <w:rsid w:val="00556fdc"/>
    <w:pPr>
      <w:suppressAutoHyphens w:val="true"/>
      <w:spacing w:lineRule="auto" w:line="240"/>
      <w:jc w:val="both"/>
    </w:pPr>
    <w:rPr>
      <w:szCs w:val="20"/>
      <w:lang w:val="en-GB" w:eastAsia="ar-SA"/>
    </w:rPr>
  </w:style>
  <w:style w:type="paragraph" w:styleId="BodyTextIndent3">
    <w:name w:val="Body Text Indent 3"/>
    <w:basedOn w:val="Normal"/>
    <w:qFormat/>
    <w:rsid w:val="00556fdc"/>
    <w:pPr>
      <w:widowControl w:val="false"/>
      <w:suppressAutoHyphens w:val="true"/>
      <w:spacing w:lineRule="auto" w:line="240" w:before="0" w:after="120"/>
      <w:ind w:left="283" w:hanging="0"/>
    </w:pPr>
    <w:rPr>
      <w:rFonts w:eastAsia="Lucida Sans Unicode"/>
      <w:kern w:val="2"/>
      <w:sz w:val="16"/>
      <w:szCs w:val="16"/>
    </w:rPr>
  </w:style>
  <w:style w:type="paragraph" w:styleId="BodyText21" w:customStyle="1">
    <w:name w:val="Body Text 21"/>
    <w:basedOn w:val="Normal"/>
    <w:qFormat/>
    <w:rsid w:val="00556fdc"/>
    <w:pPr>
      <w:tabs>
        <w:tab w:val="clear" w:pos="720"/>
        <w:tab w:val="left" w:pos="709" w:leader="none"/>
      </w:tabs>
      <w:overflowPunct w:val="true"/>
      <w:spacing w:lineRule="auto" w:line="240"/>
      <w:ind w:left="720" w:hanging="0"/>
      <w:jc w:val="both"/>
    </w:pPr>
    <w:rPr>
      <w:sz w:val="26"/>
      <w:szCs w:val="20"/>
      <w:lang w:eastAsia="lv-LV"/>
    </w:rPr>
  </w:style>
  <w:style w:type="paragraph" w:styleId="Appakspunkts" w:customStyle="1">
    <w:name w:val="appakspunkts"/>
    <w:basedOn w:val="Normal"/>
    <w:qFormat/>
    <w:rsid w:val="00556fdc"/>
    <w:pPr>
      <w:widowControl w:val="false"/>
      <w:tabs>
        <w:tab w:val="clear" w:pos="720"/>
        <w:tab w:val="right" w:pos="4320" w:leader="dot"/>
      </w:tabs>
      <w:overflowPunct w:val="true"/>
      <w:spacing w:lineRule="auto" w:line="240"/>
      <w:ind w:right="25" w:hanging="0"/>
      <w:jc w:val="both"/>
      <w:textAlignment w:val="baseline"/>
    </w:pPr>
    <w:rPr>
      <w:sz w:val="22"/>
      <w:szCs w:val="20"/>
      <w:lang w:val="en-AU"/>
    </w:rPr>
  </w:style>
  <w:style w:type="paragraph" w:styleId="Ppunkts" w:customStyle="1">
    <w:name w:val="ppunkts"/>
    <w:basedOn w:val="Normal"/>
    <w:qFormat/>
    <w:rsid w:val="00556fdc"/>
    <w:pPr>
      <w:widowControl w:val="false"/>
      <w:overflowPunct w:val="true"/>
      <w:spacing w:lineRule="auto" w:line="240"/>
      <w:ind w:left="1872" w:hanging="1152"/>
      <w:jc w:val="both"/>
      <w:textAlignment w:val="baseline"/>
    </w:pPr>
    <w:rPr>
      <w:rFonts w:ascii="Swiss TL" w:hAnsi="Swiss TL"/>
      <w:szCs w:val="20"/>
      <w:lang w:val="en-AU"/>
    </w:rPr>
  </w:style>
  <w:style w:type="paragraph" w:styleId="ColorfulList-Accent11" w:customStyle="1">
    <w:name w:val="Colorful List - Accent 11"/>
    <w:basedOn w:val="Normal"/>
    <w:qFormat/>
    <w:rsid w:val="00556fdc"/>
    <w:pPr>
      <w:suppressAutoHyphens w:val="true"/>
      <w:spacing w:before="0" w:after="200"/>
      <w:ind w:left="720" w:hanging="0"/>
    </w:pPr>
    <w:rPr>
      <w:rFonts w:eastAsia="Calibri"/>
      <w:kern w:val="2"/>
      <w:sz w:val="22"/>
      <w:szCs w:val="22"/>
      <w:lang w:eastAsia="ar-SA"/>
    </w:rPr>
  </w:style>
  <w:style w:type="paragraph" w:styleId="Style21" w:customStyle="1">
    <w:name w:val="Style2"/>
    <w:basedOn w:val="Normal"/>
    <w:qFormat/>
    <w:rsid w:val="00156973"/>
    <w:pPr>
      <w:widowControl w:val="false"/>
      <w:spacing w:lineRule="exact" w:line="250"/>
      <w:jc w:val="right"/>
    </w:pPr>
    <w:rPr>
      <w:lang w:val="en-U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numbering" w:styleId="WW8Num7">
    <w:name w:val="WW8Num7"/>
    <w:qFormat/>
  </w:style>
  <w:style w:type="numbering" w:styleId="WW8Num6">
    <w:name w:val="WW8Num6"/>
    <w:qFormat/>
  </w:style>
  <w:style w:type="numbering" w:styleId="WW8Num8">
    <w:name w:val="WW8Num8"/>
    <w:qFormat/>
  </w:style>
  <w:style w:type="numbering" w:styleId="WW8Num11">
    <w:name w:val="WW8Num11"/>
    <w:qFormat/>
  </w:style>
  <w:style w:type="numbering" w:styleId="WW8Num10">
    <w:name w:val="WW8Num10"/>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d58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D47D-53E4-4E3B-9906-490D81A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Application>LibreOffice/7.5.3.2$Windows_X86_64 LibreOffice_project/9f56dff12ba03b9acd7730a5a481eea045e468f3</Application>
  <AppVersion>15.0000</AppVersion>
  <Pages>4</Pages>
  <Words>1067</Words>
  <Characters>7775</Characters>
  <CharactersWithSpaces>8740</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2021-06-29T12:55:00Z</dcterms:created>
  <dc:creator>User</dc:creator>
  <dc:description/>
  <dc:language>lv-LV</dc:language>
  <cp:lastModifiedBy/>
  <cp:lastPrinted>2024-05-27T11:22:51Z</cp:lastPrinted>
  <dcterms:modified xsi:type="dcterms:W3CDTF">2024-05-27T11:22:56Z</dcterms:modified>
  <cp:revision>42</cp:revision>
  <dc:subject/>
  <dc:title>APSTIPRINĀTS</dc:title>
</cp:coreProperties>
</file>

<file path=docProps/custom.xml><?xml version="1.0" encoding="utf-8"?>
<Properties xmlns="http://schemas.openxmlformats.org/officeDocument/2006/custom-properties" xmlns:vt="http://schemas.openxmlformats.org/officeDocument/2006/docPropsVTypes"/>
</file>