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oter1.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hd w:val="clear" w:color="auto" w:fill="FFFFFF"/>
        <w:spacing w:lineRule="auto" w:line="240"/>
        <w:jc w:val="right"/>
        <w:rPr>
          <w:sz w:val="22"/>
          <w:szCs w:val="22"/>
        </w:rPr>
      </w:pPr>
      <w:r>
        <w:rPr>
          <w:sz w:val="22"/>
          <w:szCs w:val="22"/>
        </w:rPr>
        <w:t>Identifikācijas Nr. D</w:t>
      </w:r>
      <w:r>
        <w:rPr>
          <w:rFonts w:eastAsia="Times New Roman" w:cs="Times New Roman"/>
          <w:sz w:val="22"/>
          <w:szCs w:val="22"/>
        </w:rPr>
        <w:t>E 2023/8</w:t>
      </w:r>
    </w:p>
    <w:p>
      <w:pPr>
        <w:pStyle w:val="Normal"/>
        <w:shd w:val="clear" w:color="auto" w:fill="FFFFFF"/>
        <w:spacing w:lineRule="auto" w:line="240"/>
        <w:jc w:val="right"/>
        <w:rPr>
          <w:highlight w:val="none"/>
          <w:shd w:fill="auto" w:val="clear"/>
        </w:rPr>
      </w:pPr>
      <w:r>
        <w:rPr>
          <w:sz w:val="22"/>
          <w:szCs w:val="22"/>
          <w:shd w:fill="auto" w:val="clear"/>
        </w:rPr>
        <w:t xml:space="preserve">Nolikuma </w:t>
      </w:r>
      <w:r>
        <w:rPr>
          <w:b/>
          <w:sz w:val="22"/>
          <w:szCs w:val="22"/>
          <w:shd w:fill="auto" w:val="clear"/>
        </w:rPr>
        <w:t>7</w:t>
      </w:r>
      <w:r>
        <w:rPr>
          <w:b/>
          <w:bCs/>
          <w:color w:val="000000"/>
          <w:spacing w:val="-1"/>
          <w:sz w:val="22"/>
          <w:szCs w:val="22"/>
          <w:shd w:fill="auto" w:val="clear"/>
        </w:rPr>
        <w:t>. pielikums</w:t>
      </w:r>
    </w:p>
    <w:p>
      <w:pPr>
        <w:pStyle w:val="Normal"/>
        <w:spacing w:lineRule="auto" w:line="240"/>
        <w:jc w:val="center"/>
        <w:rPr>
          <w:b/>
        </w:rPr>
      </w:pPr>
      <w:r>
        <w:rPr>
          <w:b/>
        </w:rPr>
        <w:t>LĪGUMA PROJEKTS</w:t>
      </w:r>
    </w:p>
    <w:p>
      <w:pPr>
        <w:pStyle w:val="Normal"/>
        <w:spacing w:lineRule="auto" w:line="240" w:before="120" w:after="0"/>
        <w:jc w:val="center"/>
        <w:rPr>
          <w:b/>
        </w:rPr>
      </w:pPr>
      <w:r>
        <w:rPr>
          <w:b/>
        </w:rPr>
        <w:t>LĪGUMS Nr. ___________________</w:t>
      </w:r>
    </w:p>
    <w:p>
      <w:pPr>
        <w:pStyle w:val="Normal"/>
        <w:spacing w:lineRule="auto" w:line="240" w:before="120" w:after="0"/>
        <w:rPr/>
      </w:pPr>
      <w:r>
        <w:rPr/>
        <w:t xml:space="preserve">Dobelē,                                                                                  </w:t>
        <w:tab/>
        <w:t xml:space="preserve">              2023. gada ___. _____</w:t>
      </w:r>
    </w:p>
    <w:p>
      <w:pPr>
        <w:pStyle w:val="Normal"/>
        <w:spacing w:lineRule="auto" w:line="240" w:before="120" w:after="0"/>
        <w:ind w:firstLine="720"/>
        <w:jc w:val="both"/>
        <w:rPr>
          <w:b/>
        </w:rPr>
      </w:pPr>
      <w:r>
        <w:rPr>
          <w:rFonts w:eastAsia="Times New Roman" w:cs="Times New Roman"/>
          <w:b/>
          <w:bCs/>
          <w:color w:val="auto"/>
          <w:kern w:val="0"/>
          <w:sz w:val="24"/>
          <w:szCs w:val="24"/>
          <w:lang w:val="lv-LV" w:eastAsia="en-US" w:bidi="ar-SA"/>
        </w:rPr>
        <w:t>SIA “Dobeles enerģija”</w:t>
      </w:r>
      <w:r>
        <w:rPr/>
        <w:t xml:space="preserve">, </w:t>
      </w:r>
      <w:r>
        <w:rPr>
          <w:rFonts w:eastAsia="Times New Roman" w:cs="Times New Roman"/>
          <w:color w:val="auto"/>
          <w:kern w:val="0"/>
          <w:sz w:val="24"/>
          <w:szCs w:val="24"/>
          <w:lang w:val="lv-LV" w:eastAsia="en-US" w:bidi="ar-SA"/>
        </w:rPr>
        <w:t>Reģ.nr. 45103002039</w:t>
      </w:r>
      <w:r>
        <w:rPr>
          <w:lang w:eastAsia="et-EE"/>
        </w:rPr>
        <w:t>,</w:t>
      </w:r>
      <w:r>
        <w:rPr/>
        <w:t xml:space="preserve"> turpmāk šai līguma tekstā saukta – </w:t>
      </w:r>
      <w:r>
        <w:rPr>
          <w:b/>
        </w:rPr>
        <w:t>Pasūtītājs</w:t>
      </w:r>
      <w:r>
        <w:rPr/>
        <w:t xml:space="preserve">, tās </w:t>
      </w:r>
      <w:r>
        <w:rPr>
          <w:rFonts w:eastAsia="Times New Roman" w:cs="Times New Roman"/>
          <w:color w:val="auto"/>
          <w:kern w:val="0"/>
          <w:sz w:val="24"/>
          <w:szCs w:val="24"/>
          <w:lang w:val="lv-LV" w:eastAsia="en-US" w:bidi="ar-SA"/>
        </w:rPr>
        <w:t>valdes priekšsēdētāja</w:t>
      </w:r>
      <w:r>
        <w:rPr/>
        <w:t xml:space="preserve"> ____________ personā, kurš rīkojas saskaņā ar </w:t>
      </w:r>
      <w:r>
        <w:rPr>
          <w:rFonts w:eastAsia="Times New Roman" w:cs="Times New Roman"/>
          <w:color w:val="auto"/>
          <w:kern w:val="0"/>
          <w:sz w:val="24"/>
          <w:szCs w:val="24"/>
          <w:lang w:val="lv-LV" w:eastAsia="en-US" w:bidi="ar-SA"/>
        </w:rPr>
        <w:t>statūtiem</w:t>
      </w:r>
      <w:r>
        <w:rPr>
          <w:b/>
        </w:rPr>
        <w:t xml:space="preserve"> un</w:t>
      </w:r>
    </w:p>
    <w:p>
      <w:pPr>
        <w:pStyle w:val="Normal"/>
        <w:spacing w:lineRule="auto" w:line="240" w:before="120" w:after="0"/>
        <w:ind w:firstLine="720"/>
        <w:jc w:val="both"/>
        <w:rPr/>
      </w:pPr>
      <w:r>
        <w:rPr>
          <w:b/>
        </w:rPr>
        <w:t>___________,</w:t>
      </w:r>
      <w:r>
        <w:rPr/>
        <w:t xml:space="preserve"> reģistrācijas Nr.____________, turpmāk līguma tekstā saukts – </w:t>
      </w:r>
      <w:r>
        <w:rPr>
          <w:b/>
        </w:rPr>
        <w:t>Izpildītājs</w:t>
      </w:r>
      <w:r>
        <w:rPr/>
        <w:t xml:space="preserve">, tās </w:t>
      </w:r>
      <w:r>
        <w:rPr>
          <w:color w:val="000000"/>
          <w:lang w:val="et-EE" w:eastAsia="et-EE"/>
        </w:rPr>
        <w:t>_____ personā</w:t>
      </w:r>
      <w:r>
        <w:rPr/>
        <w:t xml:space="preserve">, kurš rīkojas saskaņā ar __________, no otras puses, </w:t>
      </w:r>
    </w:p>
    <w:p>
      <w:pPr>
        <w:pStyle w:val="Normal"/>
        <w:spacing w:lineRule="auto" w:line="240"/>
        <w:ind w:right="57" w:hanging="0"/>
        <w:jc w:val="both"/>
        <w:rPr/>
      </w:pPr>
      <w:r>
        <w:rPr/>
        <w:t xml:space="preserve">abi kopā un katrs atsevišķi - Puses un Puse, saskaņā ar </w:t>
      </w:r>
      <w:r>
        <w:rPr>
          <w:rFonts w:eastAsia="Times New Roman" w:cs="Times New Roman"/>
          <w:color w:val="auto"/>
          <w:kern w:val="0"/>
          <w:sz w:val="24"/>
          <w:szCs w:val="24"/>
          <w:lang w:val="lv-LV" w:eastAsia="en-US" w:bidi="ar-SA"/>
        </w:rPr>
        <w:t>SIA “Dobeles enerģija”</w:t>
      </w:r>
      <w:r>
        <w:rPr/>
        <w:t xml:space="preserve"> Iepirkumu komisijas 2023. gada ____ lēmumu iepirkumā </w:t>
      </w:r>
      <w:r>
        <w:rPr>
          <w:b/>
          <w:bCs/>
          <w:i w:val="false"/>
          <w:iCs w:val="false"/>
        </w:rPr>
        <w:t>“</w:t>
      </w:r>
      <w:bookmarkStart w:id="0" w:name="_Hlk71812576"/>
      <w:bookmarkStart w:id="1" w:name="_Hlk25917113"/>
      <w:r>
        <w:rPr>
          <w:rFonts w:eastAsia="Times New Roman" w:cs="Times New Roman"/>
          <w:b/>
          <w:bCs/>
          <w:i/>
          <w:iCs w:val="false"/>
          <w:sz w:val="24"/>
          <w:szCs w:val="24"/>
          <w:lang w:eastAsia="lv-LV" w:bidi="lo-LA"/>
        </w:rPr>
        <w:t>S</w:t>
      </w:r>
      <w:bookmarkEnd w:id="0"/>
      <w:bookmarkEnd w:id="1"/>
      <w:r>
        <w:rPr>
          <w:rFonts w:eastAsia="Times New Roman" w:cs="Times New Roman"/>
          <w:b/>
          <w:bCs/>
          <w:i/>
          <w:iCs w:val="false"/>
          <w:sz w:val="24"/>
          <w:szCs w:val="24"/>
          <w:lang w:eastAsia="lv-LV" w:bidi="lo-LA"/>
        </w:rPr>
        <w:t>iltumtrases Viestura iela – Dzirnavu iela savienojošā posma izbūve</w:t>
      </w:r>
      <w:r>
        <w:rPr>
          <w:b/>
          <w:bCs/>
          <w:i w:val="false"/>
          <w:iCs w:val="false"/>
          <w:sz w:val="24"/>
          <w:szCs w:val="24"/>
        </w:rPr>
        <w:t>”</w:t>
      </w:r>
      <w:r>
        <w:rPr/>
        <w:t xml:space="preserve"> </w:t>
      </w:r>
      <w:r>
        <w:rPr>
          <w:color w:val="000000"/>
        </w:rPr>
        <w:t xml:space="preserve">iepirkuma identifikācijas numurs </w:t>
      </w:r>
      <w:r>
        <w:rPr>
          <w:rFonts w:eastAsia="Times New Roman" w:cs="Times New Roman"/>
          <w:color w:val="000000"/>
          <w:kern w:val="0"/>
          <w:sz w:val="24"/>
          <w:szCs w:val="24"/>
          <w:lang w:val="lv-LV" w:eastAsia="en-US" w:bidi="ar-SA"/>
        </w:rPr>
        <w:t>DE</w:t>
      </w:r>
      <w:r>
        <w:rPr>
          <w:color w:val="000000"/>
        </w:rPr>
        <w:t xml:space="preserve"> 2023/</w:t>
      </w:r>
      <w:r>
        <w:rPr>
          <w:rFonts w:eastAsia="Times New Roman" w:cs="Times New Roman"/>
          <w:color w:val="000000"/>
          <w:kern w:val="0"/>
          <w:sz w:val="24"/>
          <w:szCs w:val="24"/>
          <w:lang w:val="lv-LV" w:eastAsia="en-US" w:bidi="ar-SA"/>
        </w:rPr>
        <w:t>8</w:t>
      </w:r>
      <w:r>
        <w:rPr>
          <w:color w:val="000000"/>
        </w:rPr>
        <w:t>,</w:t>
      </w:r>
      <w:r>
        <w:rPr>
          <w:i/>
          <w:color w:val="000000"/>
        </w:rPr>
        <w:t xml:space="preserve"> </w:t>
      </w:r>
      <w:r>
        <w:rPr/>
        <w:t>noslēdz šo līgumu, turpmāk šai līguma tekstā saukts – Līgums, par sekojošo:</w:t>
      </w:r>
    </w:p>
    <w:p>
      <w:pPr>
        <w:pStyle w:val="Normal"/>
        <w:spacing w:lineRule="auto" w:line="240"/>
        <w:ind w:right="57" w:hanging="0"/>
        <w:jc w:val="both"/>
        <w:rPr>
          <w:lang w:eastAsia="lv-LV"/>
        </w:rPr>
      </w:pPr>
      <w:r>
        <w:rPr>
          <w:lang w:eastAsia="lv-LV"/>
        </w:rPr>
      </w:r>
    </w:p>
    <w:p>
      <w:pPr>
        <w:pStyle w:val="Normal"/>
        <w:numPr>
          <w:ilvl w:val="0"/>
          <w:numId w:val="15"/>
        </w:numPr>
        <w:suppressAutoHyphens w:val="true"/>
        <w:spacing w:lineRule="auto" w:line="240"/>
        <w:ind w:left="0" w:hanging="0"/>
        <w:jc w:val="center"/>
        <w:rPr>
          <w:b/>
        </w:rPr>
      </w:pPr>
      <w:r>
        <w:rPr>
          <w:b/>
        </w:rPr>
        <w:t>LĪGUMA PRIEKŠMETS</w:t>
      </w:r>
    </w:p>
    <w:p>
      <w:pPr>
        <w:pStyle w:val="ListParagraph"/>
        <w:numPr>
          <w:ilvl w:val="1"/>
          <w:numId w:val="16"/>
        </w:numPr>
        <w:tabs>
          <w:tab w:val="clear" w:pos="720"/>
        </w:tabs>
        <w:spacing w:lineRule="auto" w:line="240"/>
        <w:ind w:left="425" w:hanging="425"/>
        <w:jc w:val="both"/>
        <w:rPr>
          <w:rFonts w:ascii="Times New Roman" w:hAnsi="Times New Roman" w:cs="Times New Roman"/>
        </w:rPr>
      </w:pPr>
      <w:r>
        <w:rPr>
          <w:rFonts w:cs="Times New Roman" w:ascii="Times New Roman" w:hAnsi="Times New Roman"/>
        </w:rPr>
        <w:t xml:space="preserve">Pasūtītājs uzdod un Izpildītājs apņemas ar saviem spēkiem un materiāliem, izmantojot savas profesionālās prasmes un iemaņas, izbūvēt </w:t>
      </w:r>
      <w:r>
        <w:rPr>
          <w:rFonts w:cs="Times New Roman" w:ascii="Times New Roman" w:hAnsi="Times New Roman"/>
          <w:b w:val="false"/>
          <w:bCs w:val="false"/>
          <w:color w:val="000000"/>
          <w:shd w:fill="auto" w:val="clear"/>
        </w:rPr>
        <w:t xml:space="preserve">jaunu bezkanāla tipa siltumtrasi no rūpnieciski izolētiem cauruļvadiem atbilstoši  piedāvājuma Tehniskajai specifikācijai (Pielikums. Nr.1) būvprojektam - </w:t>
      </w:r>
      <w:r>
        <w:rPr>
          <w:rFonts w:eastAsia="Times New Roman" w:cs="Times New Roman" w:ascii="Times New Roman" w:hAnsi="Times New Roman"/>
          <w:b w:val="false"/>
          <w:bCs w:val="false"/>
          <w:color w:val="000000"/>
          <w:kern w:val="0"/>
          <w:shd w:fill="auto" w:val="clear"/>
          <w:lang w:val="lv-LV" w:bidi="ar-SA"/>
        </w:rPr>
        <w:t>Siltumtrases savienojošais posms starp Viestura ielu un Dzirnavu ielu Do</w:t>
      </w:r>
      <w:r>
        <w:rPr>
          <w:rFonts w:eastAsia="Times New Roman" w:cs="Times New Roman" w:ascii="Times New Roman" w:hAnsi="Times New Roman"/>
          <w:b w:val="false"/>
          <w:bCs w:val="false"/>
          <w:color w:val="000000"/>
          <w:kern w:val="0"/>
          <w:shd w:fill="auto" w:val="clear"/>
          <w:lang w:val="lv-LV" w:bidi="ar-SA"/>
        </w:rPr>
        <w:t xml:space="preserve">belē (1. </w:t>
      </w:r>
      <w:r>
        <w:rPr>
          <w:rFonts w:eastAsia="Times New Roman" w:cs="Times New Roman" w:ascii="Times New Roman" w:hAnsi="Times New Roman"/>
          <w:b w:val="false"/>
          <w:bCs w:val="false"/>
          <w:color w:val="000000"/>
          <w:kern w:val="0"/>
          <w:shd w:fill="auto" w:val="clear"/>
          <w:lang w:val="lv-LV" w:bidi="ar-SA"/>
        </w:rPr>
        <w:t>būvniecības etaps</w:t>
      </w:r>
      <w:r>
        <w:rPr>
          <w:rFonts w:eastAsia="Times New Roman" w:cs="Times New Roman" w:ascii="Times New Roman" w:hAnsi="Times New Roman"/>
          <w:b w:val="false"/>
          <w:bCs w:val="false"/>
          <w:color w:val="000000"/>
          <w:kern w:val="0"/>
          <w:shd w:fill="auto" w:val="clear"/>
          <w:lang w:val="lv-LV" w:bidi="ar-SA"/>
        </w:rPr>
        <w:t>), Dobe</w:t>
      </w:r>
      <w:r>
        <w:rPr>
          <w:rFonts w:eastAsia="Times New Roman" w:cs="Times New Roman" w:ascii="Times New Roman" w:hAnsi="Times New Roman"/>
          <w:b w:val="false"/>
          <w:bCs w:val="false"/>
          <w:color w:val="000000"/>
          <w:kern w:val="0"/>
          <w:shd w:fill="auto" w:val="clear"/>
          <w:lang w:val="lv-LV" w:bidi="ar-SA"/>
        </w:rPr>
        <w:t>les novadā</w:t>
      </w:r>
      <w:r>
        <w:rPr>
          <w:rFonts w:cs="Times New Roman" w:ascii="Times New Roman" w:hAnsi="Times New Roman"/>
          <w:b w:val="false"/>
          <w:bCs w:val="false"/>
          <w:color w:val="000000"/>
          <w:shd w:fill="auto" w:val="clear"/>
        </w:rPr>
        <w:t xml:space="preserve"> </w:t>
      </w:r>
      <w:r>
        <w:rPr>
          <w:rFonts w:cs="Times New Roman" w:ascii="Times New Roman" w:hAnsi="Times New Roman"/>
        </w:rPr>
        <w:t xml:space="preserve">un nodot Pasūtītājam Būvobjekta dokumentāciju, </w:t>
      </w:r>
      <w:r>
        <w:rPr>
          <w:rFonts w:cs="Times New Roman" w:ascii="Times New Roman" w:hAnsi="Times New Roman"/>
          <w:color w:val="000000"/>
        </w:rPr>
        <w:t>turpmāk tekstā - Būvobjekts.</w:t>
      </w:r>
    </w:p>
    <w:p>
      <w:pPr>
        <w:pStyle w:val="ListParagraph"/>
        <w:numPr>
          <w:ilvl w:val="1"/>
          <w:numId w:val="17"/>
        </w:numPr>
        <w:tabs>
          <w:tab w:val="clear" w:pos="720"/>
        </w:tabs>
        <w:spacing w:lineRule="auto" w:line="240"/>
        <w:ind w:left="426" w:hanging="426"/>
        <w:jc w:val="both"/>
        <w:rPr>
          <w:rFonts w:ascii="Times New Roman" w:hAnsi="Times New Roman" w:cs="Times New Roman"/>
        </w:rPr>
      </w:pPr>
      <w:r>
        <w:rPr>
          <w:rFonts w:cs="Times New Roman" w:ascii="Times New Roman" w:hAnsi="Times New Roman"/>
          <w:color w:val="000000"/>
        </w:rPr>
        <w:t xml:space="preserve">Izpildītājs apņemas veikt Būvdarbus, </w:t>
      </w:r>
      <w:r>
        <w:rPr>
          <w:rFonts w:cs="Times New Roman" w:ascii="Times New Roman" w:hAnsi="Times New Roman"/>
        </w:rPr>
        <w:t xml:space="preserve">ievērojot Būvniecības likuma, Ministru kabineta 2014. gada 19. augusta noteikumu Nr. 500 “Vispārīgie būvnoteikumi”, Latvijas būvnormatīvu, Latvijas valsts standartu, Eiropas Savienības dalībvalstu standartu, </w:t>
      </w:r>
      <w:r>
        <w:rPr>
          <w:rFonts w:cs="Times New Roman" w:ascii="Times New Roman" w:hAnsi="Times New Roman"/>
          <w:color w:val="000000"/>
        </w:rPr>
        <w:t xml:space="preserve">tehniskās </w:t>
      </w:r>
      <w:r>
        <w:rPr>
          <w:rFonts w:cs="Times New Roman" w:ascii="Times New Roman" w:hAnsi="Times New Roman"/>
        </w:rPr>
        <w:t>specifikācijas (__. pielikums) noteiktās prasības un atbilstoši finanšu piedāvājumam (___. pielikums),</w:t>
      </w:r>
      <w:r>
        <w:rPr>
          <w:rFonts w:cs="Times New Roman" w:ascii="Times New Roman" w:hAnsi="Times New Roman"/>
          <w:color w:val="000000"/>
        </w:rPr>
        <w:t xml:space="preserve"> </w:t>
      </w:r>
      <w:r>
        <w:rPr>
          <w:rFonts w:cs="Times New Roman" w:ascii="Times New Roman" w:hAnsi="Times New Roman"/>
        </w:rPr>
        <w:t>turpmāk tekstā viss kopā – Pakalpojums.</w:t>
      </w:r>
    </w:p>
    <w:p>
      <w:pPr>
        <w:pStyle w:val="Normal"/>
        <w:spacing w:lineRule="auto" w:line="240"/>
        <w:ind w:left="426" w:hanging="426"/>
        <w:jc w:val="both"/>
        <w:rPr/>
      </w:pPr>
      <w:r>
        <w:rPr/>
        <w:t>1.3. Izpildītājs apliecina, ka ir pienācīgi iepazinies ar veicamo Pakalpojumu, tajā skaitā ar tajā ietvertajiem risinājumiem, apjomiem, pielietojamiem materiāliem un prasībām, un atsakās saistībā ar to izvirzīt jebkāda satura iebildumus vai pretenzijas.</w:t>
      </w:r>
    </w:p>
    <w:p>
      <w:pPr>
        <w:pStyle w:val="Normal"/>
        <w:spacing w:lineRule="auto" w:line="240"/>
        <w:ind w:left="426" w:hanging="426"/>
        <w:jc w:val="both"/>
        <w:rPr/>
      </w:pPr>
      <w:r>
        <w:rPr/>
      </w:r>
    </w:p>
    <w:p>
      <w:pPr>
        <w:pStyle w:val="Normal"/>
        <w:spacing w:lineRule="auto" w:line="240"/>
        <w:jc w:val="center"/>
        <w:rPr>
          <w:b/>
          <w:lang w:eastAsia="lv-LV"/>
        </w:rPr>
      </w:pPr>
      <w:r>
        <w:rPr>
          <w:b/>
          <w:lang w:eastAsia="lv-LV"/>
        </w:rPr>
        <w:t>2. LĪGUMCENA UN SAMAKSAS KĀRTĪBA</w:t>
      </w:r>
    </w:p>
    <w:p>
      <w:pPr>
        <w:pStyle w:val="Normal"/>
        <w:widowControl w:val="false"/>
        <w:suppressAutoHyphens w:val="true"/>
        <w:spacing w:lineRule="auto" w:line="240" w:before="0" w:after="160"/>
        <w:ind w:left="426" w:right="-17" w:hanging="426"/>
        <w:contextualSpacing/>
        <w:jc w:val="both"/>
        <w:rPr>
          <w:lang w:eastAsia="lv-LV"/>
        </w:rPr>
      </w:pPr>
      <w:r>
        <w:rPr>
          <w:lang w:eastAsia="lv-LV"/>
        </w:rPr>
        <w:t>2.1. Pasūtītājs maksā Izpildītājam par kvalitatīvi veikto Pakalpojumu līgumcenu ____EUR</w:t>
      </w:r>
      <w:r>
        <w:rPr>
          <w:b/>
          <w:lang w:eastAsia="lv-LV"/>
        </w:rPr>
        <w:t xml:space="preserve"> </w:t>
      </w:r>
      <w:r>
        <w:rPr>
          <w:lang w:eastAsia="lv-LV"/>
        </w:rPr>
        <w:t xml:space="preserve">(___ </w:t>
      </w:r>
      <w:r>
        <w:rPr>
          <w:i/>
          <w:lang w:eastAsia="lv-LV"/>
        </w:rPr>
        <w:t>euro</w:t>
      </w:r>
      <w:r>
        <w:rPr>
          <w:lang w:eastAsia="lv-LV"/>
        </w:rPr>
        <w:t xml:space="preserve"> ____centi), turpmāk - Līgumcena </w:t>
      </w:r>
      <w:r>
        <w:rPr/>
        <w:t xml:space="preserve">un pievienotās vērtības nodokli 21 % (divdesmit viens procents) ________ </w:t>
      </w:r>
      <w:r>
        <w:rPr>
          <w:lang w:eastAsia="lv-LV"/>
        </w:rPr>
        <w:t>EUR</w:t>
      </w:r>
      <w:r>
        <w:rPr>
          <w:b/>
          <w:lang w:eastAsia="lv-LV"/>
        </w:rPr>
        <w:t xml:space="preserve"> </w:t>
      </w:r>
      <w:r>
        <w:rPr>
          <w:lang w:eastAsia="lv-LV"/>
        </w:rPr>
        <w:t xml:space="preserve">(___ </w:t>
      </w:r>
      <w:r>
        <w:rPr>
          <w:i/>
          <w:lang w:eastAsia="lv-LV"/>
        </w:rPr>
        <w:t>euro</w:t>
      </w:r>
      <w:r>
        <w:rPr>
          <w:lang w:eastAsia="lv-LV"/>
        </w:rPr>
        <w:t>, ____centi),</w:t>
      </w:r>
      <w:r>
        <w:rPr/>
        <w:t xml:space="preserve"> kas kopā ir </w:t>
      </w:r>
      <w:r>
        <w:rPr>
          <w:b/>
          <w:lang w:eastAsia="lv-LV"/>
        </w:rPr>
        <w:t xml:space="preserve">____EUR </w:t>
      </w:r>
      <w:r>
        <w:rPr>
          <w:lang w:eastAsia="lv-LV"/>
        </w:rPr>
        <w:t xml:space="preserve">(___ </w:t>
      </w:r>
      <w:r>
        <w:rPr>
          <w:i/>
          <w:lang w:eastAsia="lv-LV"/>
        </w:rPr>
        <w:t>euro</w:t>
      </w:r>
      <w:r>
        <w:rPr>
          <w:lang w:eastAsia="lv-LV"/>
        </w:rPr>
        <w:t>, ____centi), turpmāk – Līguma summa.</w:t>
      </w:r>
    </w:p>
    <w:p>
      <w:pPr>
        <w:pStyle w:val="Normal"/>
        <w:widowControl w:val="false"/>
        <w:suppressAutoHyphens w:val="true"/>
        <w:spacing w:lineRule="auto" w:line="240"/>
        <w:ind w:left="426" w:hanging="426"/>
        <w:jc w:val="both"/>
        <w:rPr>
          <w:lang w:eastAsia="lv-LV"/>
        </w:rPr>
      </w:pPr>
      <w:r>
        <w:rPr>
          <w:lang w:eastAsia="lv-LV"/>
        </w:rPr>
        <w:t>2.2. Samaksa tiek veikta šādā kārtībā:</w:t>
      </w:r>
    </w:p>
    <w:p>
      <w:pPr>
        <w:pStyle w:val="Normal"/>
        <w:widowControl w:val="false"/>
        <w:suppressAutoHyphens w:val="true"/>
        <w:spacing w:lineRule="auto" w:line="240"/>
        <w:ind w:left="426" w:hanging="426"/>
        <w:jc w:val="both"/>
        <w:rPr>
          <w:lang w:eastAsia="lv-LV"/>
        </w:rPr>
      </w:pPr>
      <w:r>
        <w:rPr>
          <w:lang w:eastAsia="lv-LV"/>
        </w:rPr>
        <w:tab/>
        <w:t>2.2.1.Pasūtītājs samaksu par Pakalpojumu veic 15 (piecpadsmit) darba dienu laikā pēc Būvobjekta saņemšanas, kas akceptēts Dobeles novada Būvvaldē ar atzīmi par projektēšanas nosacījumu izpildi, sniegtā Pakalpojuma  pieņemšanas - nodošanas akta parakstīšanas un Izpildītāja rēķina saņemšanas.</w:t>
      </w:r>
    </w:p>
    <w:p>
      <w:pPr>
        <w:pStyle w:val="Normal"/>
        <w:spacing w:lineRule="auto" w:line="240" w:before="0" w:after="160"/>
        <w:ind w:left="426" w:right="-17" w:hanging="426"/>
        <w:contextualSpacing/>
        <w:jc w:val="both"/>
        <w:rPr>
          <w:lang w:eastAsia="lv-LV"/>
        </w:rPr>
      </w:pPr>
      <w:r>
        <w:rPr>
          <w:lang w:eastAsia="lv-LV"/>
        </w:rPr>
        <w:t>2.3. Gadījumā, ja Pakalpojums tiek veikts daļēji, Pasūtītājam ir tiesības maksāt tikai par izpildīto un Pasūtītāja pieņemto apjomu.</w:t>
      </w:r>
    </w:p>
    <w:p>
      <w:pPr>
        <w:pStyle w:val="Normal"/>
        <w:spacing w:lineRule="auto" w:line="240" w:before="0" w:after="160"/>
        <w:ind w:left="426" w:right="-17" w:hanging="426"/>
        <w:contextualSpacing/>
        <w:jc w:val="both"/>
        <w:rPr/>
      </w:pPr>
      <w:r>
        <w:rPr>
          <w:lang w:eastAsia="lv-LV"/>
        </w:rPr>
        <w:t xml:space="preserve">2.4. </w:t>
      </w:r>
      <w:r>
        <w:rPr/>
        <w:t>Līgumcenā ir iekļautas visas darbu izmaksas, kas saistītas ar Pakalpojuma pilnīgu un kvalitatīvu izpildi, tajā skaitā izmaksas, kas saistītas ar visu Pakalpojuma veikšanai nepieciešamo mērījumu veikšanu, speciālistu darba apmaksu, nodokļiem, nodevām.</w:t>
      </w:r>
    </w:p>
    <w:p>
      <w:pPr>
        <w:pStyle w:val="ListParagraph"/>
        <w:spacing w:lineRule="auto" w:line="240"/>
        <w:ind w:left="0" w:right="-766" w:hanging="0"/>
        <w:jc w:val="center"/>
        <w:rPr>
          <w:rFonts w:ascii="Times New Roman" w:hAnsi="Times New Roman" w:cs="Times New Roman"/>
          <w:b/>
        </w:rPr>
      </w:pPr>
      <w:r>
        <w:rPr>
          <w:rFonts w:cs="Times New Roman" w:ascii="Times New Roman" w:hAnsi="Times New Roman"/>
          <w:b/>
        </w:rPr>
        <w:t>3. PAKALPOJUMA IZPILDES TERMIŅŠ</w:t>
      </w:r>
    </w:p>
    <w:p>
      <w:pPr>
        <w:pStyle w:val="Normal"/>
        <w:spacing w:lineRule="auto" w:line="240"/>
        <w:ind w:left="426" w:hanging="426"/>
        <w:jc w:val="both"/>
        <w:rPr/>
      </w:pPr>
      <w:r>
        <w:rPr/>
        <w:t>3.1. Līguma izpildes termiņš ir</w:t>
      </w:r>
      <w:r>
        <w:rPr>
          <w:shd w:fill="auto" w:val="clear"/>
        </w:rPr>
        <w:t xml:space="preserve"> </w:t>
      </w:r>
      <w:r>
        <w:rPr>
          <w:b/>
          <w:bCs/>
          <w:u w:val="single"/>
          <w:shd w:fill="auto" w:val="clear"/>
        </w:rPr>
        <w:t>līdz 2023.gada 1.decembrim</w:t>
      </w:r>
      <w:r>
        <w:rPr>
          <w:b/>
          <w:bCs/>
          <w:u w:val="single"/>
        </w:rPr>
        <w:t>,</w:t>
      </w:r>
      <w:r>
        <w:rPr/>
        <w:t xml:space="preserve"> tajā skaitā Būvobjekta saskaņošana ar visām institūcijām un Būvobjekta akceptēšana Būvvaldē.  </w:t>
      </w:r>
    </w:p>
    <w:p>
      <w:pPr>
        <w:pStyle w:val="Normal"/>
        <w:spacing w:lineRule="auto" w:line="240"/>
        <w:ind w:left="426" w:hanging="426"/>
        <w:jc w:val="both"/>
        <w:rPr/>
      </w:pPr>
      <w:r>
        <w:rPr/>
        <w:t>3.2. Izpildītājs apņemas nekavējoties ziņot Pasūtītājam par visiem apstākļiem un/vai šķēršļiem, kuri kavē Pakalpojuma izpildi noteiktajā termiņā.</w:t>
      </w:r>
    </w:p>
    <w:p>
      <w:pPr>
        <w:pStyle w:val="Normal"/>
        <w:spacing w:lineRule="auto" w:line="240"/>
        <w:jc w:val="both"/>
        <w:rPr/>
      </w:pPr>
      <w:r>
        <w:rPr/>
      </w:r>
    </w:p>
    <w:p>
      <w:pPr>
        <w:pStyle w:val="ListParagraph"/>
        <w:spacing w:lineRule="auto" w:line="240"/>
        <w:ind w:left="0" w:right="-1" w:hanging="0"/>
        <w:jc w:val="center"/>
        <w:rPr>
          <w:rFonts w:ascii="Times New Roman" w:hAnsi="Times New Roman" w:cs="Times New Roman"/>
        </w:rPr>
      </w:pPr>
      <w:r>
        <w:rPr>
          <w:rFonts w:cs="Times New Roman" w:ascii="Times New Roman" w:hAnsi="Times New Roman"/>
          <w:b/>
        </w:rPr>
        <w:t>4. PUŠU TIESĪBAS UN PIENĀKUMI</w:t>
      </w:r>
    </w:p>
    <w:p>
      <w:pPr>
        <w:pStyle w:val="Normal"/>
        <w:tabs>
          <w:tab w:val="clear" w:pos="720"/>
          <w:tab w:val="left" w:pos="0" w:leader="none"/>
        </w:tabs>
        <w:spacing w:lineRule="auto" w:line="240" w:before="0" w:after="0"/>
        <w:ind w:right="-1" w:hanging="0"/>
        <w:contextualSpacing/>
        <w:jc w:val="both"/>
        <w:rPr>
          <w:lang w:eastAsia="lv-LV"/>
        </w:rPr>
      </w:pPr>
      <w:r>
        <w:rPr>
          <w:lang w:eastAsia="lv-LV"/>
        </w:rPr>
        <w:t>4.1. Pasūtītājam ir tiesības:</w:t>
      </w:r>
    </w:p>
    <w:p>
      <w:pPr>
        <w:pStyle w:val="Normal"/>
        <w:tabs>
          <w:tab w:val="clear" w:pos="720"/>
          <w:tab w:val="left" w:pos="709" w:leader="none"/>
          <w:tab w:val="left" w:pos="1276" w:leader="none"/>
        </w:tabs>
        <w:spacing w:lineRule="auto" w:line="240" w:before="0" w:after="160"/>
        <w:ind w:left="567" w:right="-1" w:hanging="0"/>
        <w:contextualSpacing/>
        <w:jc w:val="both"/>
        <w:rPr>
          <w:lang w:eastAsia="lv-LV"/>
        </w:rPr>
      </w:pPr>
      <w:r>
        <w:rPr>
          <w:lang w:eastAsia="lv-LV"/>
        </w:rPr>
        <w:t>4.1.1. saņemt Pakalpojumu, kas veikts atbilstoši Līguma noteikumiem;</w:t>
      </w:r>
    </w:p>
    <w:p>
      <w:pPr>
        <w:pStyle w:val="Normal"/>
        <w:spacing w:lineRule="auto" w:line="240" w:before="0" w:after="160"/>
        <w:ind w:left="567" w:right="-1" w:hanging="0"/>
        <w:contextualSpacing/>
        <w:jc w:val="both"/>
        <w:rPr>
          <w:lang w:eastAsia="lv-LV"/>
        </w:rPr>
      </w:pPr>
      <w:r>
        <w:rPr>
          <w:lang w:eastAsia="lv-LV"/>
        </w:rPr>
        <w:t>4.1.2. uz informācijas saņemšanu, kas saistīta ar Pakalpojuma veikšanu;</w:t>
      </w:r>
    </w:p>
    <w:p>
      <w:pPr>
        <w:pStyle w:val="Normal"/>
        <w:tabs>
          <w:tab w:val="clear" w:pos="720"/>
          <w:tab w:val="left" w:pos="0" w:leader="none"/>
        </w:tabs>
        <w:spacing w:lineRule="auto" w:line="240" w:before="0" w:after="160"/>
        <w:ind w:right="-1" w:hanging="0"/>
        <w:contextualSpacing/>
        <w:jc w:val="both"/>
        <w:rPr>
          <w:lang w:eastAsia="lv-LV"/>
        </w:rPr>
      </w:pPr>
      <w:r>
        <w:rPr>
          <w:lang w:eastAsia="lv-LV"/>
        </w:rPr>
        <w:t>4.2. Pasūtītājam ir pienākumi:</w:t>
      </w:r>
    </w:p>
    <w:p>
      <w:pPr>
        <w:pStyle w:val="Normal"/>
        <w:tabs>
          <w:tab w:val="clear" w:pos="720"/>
          <w:tab w:val="left" w:pos="567" w:leader="none"/>
        </w:tabs>
        <w:spacing w:lineRule="auto" w:line="240" w:before="0" w:after="160"/>
        <w:ind w:left="567" w:right="-1" w:hanging="0"/>
        <w:contextualSpacing/>
        <w:jc w:val="both"/>
        <w:rPr>
          <w:lang w:eastAsia="lv-LV"/>
        </w:rPr>
      </w:pPr>
      <w:r>
        <w:rPr>
          <w:lang w:eastAsia="lv-LV"/>
        </w:rPr>
        <w:t>4.2.1. samaksāt par Pakalpojumu, kas veikts atbilstoši Līguma noteikumiem,</w:t>
      </w:r>
      <w:r>
        <w:rPr>
          <w:color w:val="000000"/>
          <w:lang w:eastAsia="lv-LV"/>
        </w:rPr>
        <w:t xml:space="preserve"> spēkā esošajiem normatīvajiem aktiem, ko apstiprina Pušu parakstīts</w:t>
      </w:r>
      <w:r>
        <w:rPr>
          <w:lang w:eastAsia="lv-LV"/>
        </w:rPr>
        <w:t xml:space="preserve"> pieņemšanas - nodošanas akts; </w:t>
      </w:r>
    </w:p>
    <w:p>
      <w:pPr>
        <w:pStyle w:val="Normal"/>
        <w:tabs>
          <w:tab w:val="clear" w:pos="720"/>
          <w:tab w:val="left" w:pos="567" w:leader="none"/>
        </w:tabs>
        <w:spacing w:lineRule="auto" w:line="240" w:before="0" w:after="160"/>
        <w:ind w:left="567" w:right="-1" w:hanging="0"/>
        <w:contextualSpacing/>
        <w:jc w:val="both"/>
        <w:rPr>
          <w:lang w:eastAsia="lv-LV"/>
        </w:rPr>
      </w:pPr>
      <w:r>
        <w:rPr>
          <w:lang w:eastAsia="lv-LV"/>
        </w:rPr>
        <w:t>4.2.2. sniegt Izpildītājam visu iespējamo tā rīcībā esošo informāciju un dokumentāciju, kas atkarīga no Pasūtītāja un nepieciešama Pakalpojuma izpildei, ja to rakstiski pieprasa Izpildītājs;</w:t>
      </w:r>
    </w:p>
    <w:p>
      <w:pPr>
        <w:pStyle w:val="Normal"/>
        <w:tabs>
          <w:tab w:val="clear" w:pos="720"/>
          <w:tab w:val="left" w:pos="567" w:leader="none"/>
        </w:tabs>
        <w:spacing w:lineRule="auto" w:line="240" w:before="0" w:after="160"/>
        <w:ind w:left="567" w:right="-1" w:hanging="0"/>
        <w:contextualSpacing/>
        <w:jc w:val="both"/>
        <w:rPr>
          <w:lang w:eastAsia="lv-LV"/>
        </w:rPr>
      </w:pPr>
      <w:r>
        <w:rPr>
          <w:lang w:eastAsia="lv-LV"/>
        </w:rPr>
        <w:t>4.2.3. tikties ar Izpildītāju par Pakalpojuma veikšanu saistītu jautājumu risināšanai;</w:t>
      </w:r>
    </w:p>
    <w:p>
      <w:pPr>
        <w:pStyle w:val="Normal"/>
        <w:spacing w:lineRule="auto" w:line="240" w:before="0" w:after="160"/>
        <w:ind w:right="-1" w:hanging="0"/>
        <w:contextualSpacing/>
        <w:jc w:val="both"/>
        <w:rPr>
          <w:lang w:eastAsia="lv-LV"/>
        </w:rPr>
      </w:pPr>
      <w:r>
        <w:rPr>
          <w:lang w:eastAsia="lv-LV"/>
        </w:rPr>
        <w:t>4.3. Izpildītājam ir tiesības:</w:t>
      </w:r>
    </w:p>
    <w:p>
      <w:pPr>
        <w:pStyle w:val="Normal"/>
        <w:tabs>
          <w:tab w:val="clear" w:pos="720"/>
          <w:tab w:val="left" w:pos="567" w:leader="none"/>
        </w:tabs>
        <w:spacing w:lineRule="auto" w:line="240" w:before="0" w:after="160"/>
        <w:ind w:left="567" w:right="-1" w:hanging="11"/>
        <w:contextualSpacing/>
        <w:jc w:val="both"/>
        <w:rPr>
          <w:lang w:eastAsia="lv-LV"/>
        </w:rPr>
      </w:pPr>
      <w:r>
        <w:rPr>
          <w:lang w:eastAsia="lv-LV"/>
        </w:rPr>
        <w:t>4.3.1. uz samaksu par kvalitatīvu Pakalpojuma izpildi Līgumā noteiktajā kārtībā;</w:t>
      </w:r>
    </w:p>
    <w:p>
      <w:pPr>
        <w:pStyle w:val="Normal"/>
        <w:tabs>
          <w:tab w:val="clear" w:pos="720"/>
          <w:tab w:val="left" w:pos="567" w:leader="none"/>
        </w:tabs>
        <w:spacing w:lineRule="auto" w:line="240" w:before="0" w:after="160"/>
        <w:ind w:left="567" w:right="-1" w:hanging="11"/>
        <w:contextualSpacing/>
        <w:jc w:val="both"/>
        <w:rPr>
          <w:lang w:eastAsia="lv-LV"/>
        </w:rPr>
      </w:pPr>
      <w:r>
        <w:rPr>
          <w:lang w:eastAsia="lv-LV"/>
        </w:rPr>
        <w:t>4.3.2. pieprasīt un saņemt nepieciešamos tehniskos noteikumus no attiecīgām institūcijām. Visa informācija un dokumentācija, kuru Izpildītājs saņem no Pasūtītāja vai iegūst Pakalpojuma izpildes procesā, ir izmantojama vienīgi Būvobjekta izstrādes vajadzībām. Tās izmantošana citiem mērķiem ir pieļaujama vienīgi ar Pasūtītāja rakstisku piekrišanu katrā atsevišķā gadījumā.</w:t>
      </w:r>
    </w:p>
    <w:p>
      <w:pPr>
        <w:pStyle w:val="Normal"/>
        <w:spacing w:lineRule="auto" w:line="240" w:before="0" w:after="160"/>
        <w:ind w:right="-1" w:hanging="0"/>
        <w:contextualSpacing/>
        <w:jc w:val="both"/>
        <w:rPr>
          <w:lang w:eastAsia="lv-LV"/>
        </w:rPr>
      </w:pPr>
      <w:r>
        <w:rPr>
          <w:lang w:eastAsia="lv-LV"/>
        </w:rPr>
        <w:t>4.4. Izpildītājam ir pienākumi:</w:t>
      </w:r>
    </w:p>
    <w:p>
      <w:pPr>
        <w:pStyle w:val="Normal"/>
        <w:spacing w:lineRule="auto" w:line="240"/>
        <w:ind w:left="567" w:hanging="0"/>
        <w:jc w:val="both"/>
        <w:rPr/>
      </w:pPr>
      <w:r>
        <w:rPr/>
        <w:t xml:space="preserve">4.4.1. ja Izpildītājs neveic Būvniecību atbilstoši Līguma noteikumiem, Izpildītājam ir pienākums par saviem līdzekļiem pēc pirmā Pasūtītāja pieprasījuma un Pasūtītāja noteiktajā termiņā novērst norādītos trūkumus, nepilnības vai neatbilstību Līguma izpildē;  </w:t>
      </w:r>
    </w:p>
    <w:p>
      <w:pPr>
        <w:pStyle w:val="Normal"/>
        <w:spacing w:lineRule="auto" w:line="240" w:before="0" w:after="160"/>
        <w:ind w:left="567" w:right="-17" w:hanging="0"/>
        <w:contextualSpacing/>
        <w:jc w:val="both"/>
        <w:rPr/>
      </w:pPr>
      <w:r>
        <w:rPr/>
        <w:t>4.4.2. nekavējoties rakstiski brīdināt Pasūtītāju par tādiem apstākļiem, kas radušies pēc Līguma noslēgšanas un var kavēt Izpildītāja saistību izpildi, ja tiem ir būtiska nozīme;</w:t>
      </w:r>
    </w:p>
    <w:p>
      <w:pPr>
        <w:pStyle w:val="Normal"/>
        <w:spacing w:lineRule="auto" w:line="240" w:before="0" w:after="160"/>
        <w:ind w:left="567" w:right="-17" w:hanging="0"/>
        <w:contextualSpacing/>
        <w:jc w:val="both"/>
        <w:rPr/>
      </w:pPr>
      <w:r>
        <w:rPr/>
        <w:t>4.4.3. ja Būvobjekta vai kādas tā stadijas izvērtēšanas laikā ieinteresētās vai vērtējošās institūcijas lūdz sniegt papildu paskaidrojumus, norāda uz kādiem Būvobjekta trūkumiem vai nepilnībām, Izpildītājs sniedz nepieciešamos paskaidrojumus un par saviem līdzekļiem novērš visas konstatētās nepilnības un norādītos defektus, termiņos, kas nav ilgāki par Līgumā noteikto pabeigšanas termiņu konkrētajam darbam. Gadījumā, ja paskaidrojumu sniegšana,  defektu vai nepilnību novēršana pārsniedz Līgumā noteikto Būvobjekta izstrādes pabeigšanas termiņu, Izpildītājs maksā Pasūtītājam Līgumā noteikto līgumsodu par termiņa kavējumu, ja kavējums veidojas Izpildītāja vainas dēļ.</w:t>
      </w:r>
    </w:p>
    <w:p>
      <w:pPr>
        <w:pStyle w:val="Normal"/>
        <w:spacing w:lineRule="auto" w:line="240" w:before="0" w:after="160"/>
        <w:ind w:left="567" w:right="-17" w:hanging="0"/>
        <w:contextualSpacing/>
        <w:jc w:val="both"/>
        <w:rPr>
          <w:color w:val="FF0000"/>
          <w:lang w:eastAsia="lv-LV"/>
        </w:rPr>
      </w:pPr>
      <w:r>
        <w:rPr>
          <w:color w:val="FF0000"/>
          <w:lang w:eastAsia="lv-LV"/>
        </w:rPr>
      </w:r>
    </w:p>
    <w:p>
      <w:pPr>
        <w:pStyle w:val="Normal"/>
        <w:spacing w:lineRule="auto" w:line="240" w:before="0" w:after="160"/>
        <w:ind w:right="-766" w:hanging="0"/>
        <w:contextualSpacing/>
        <w:jc w:val="center"/>
        <w:rPr>
          <w:b/>
          <w:lang w:eastAsia="lv-LV"/>
        </w:rPr>
      </w:pPr>
      <w:r>
        <w:rPr>
          <w:b/>
          <w:lang w:eastAsia="lv-LV"/>
        </w:rPr>
        <w:t xml:space="preserve">5. PAKALPOJUMA PIEŅEMŠANA UN NODOŠANA </w:t>
      </w:r>
    </w:p>
    <w:p>
      <w:pPr>
        <w:pStyle w:val="Normal"/>
        <w:spacing w:lineRule="auto" w:line="240" w:before="0" w:after="160"/>
        <w:ind w:left="567" w:right="-17" w:hanging="567"/>
        <w:contextualSpacing/>
        <w:jc w:val="both"/>
        <w:rPr>
          <w:b/>
          <w:lang w:eastAsia="lv-LV"/>
        </w:rPr>
      </w:pPr>
      <w:r>
        <w:rPr>
          <w:lang w:eastAsia="lv-LV"/>
        </w:rPr>
        <w:t>5.1. Pakalpojums tiek uzskatīts par izpildītu tikai tad, kad Izpildītājs ir parakstījis noslēdzošo pieņemšanas – nodošanas aktu.</w:t>
      </w:r>
    </w:p>
    <w:p>
      <w:pPr>
        <w:pStyle w:val="Normal"/>
        <w:widowControl w:val="false"/>
        <w:overflowPunct w:val="false"/>
        <w:spacing w:lineRule="auto" w:line="240"/>
        <w:ind w:left="567" w:hanging="567"/>
        <w:jc w:val="both"/>
        <w:rPr/>
      </w:pPr>
      <w:r>
        <w:rPr>
          <w:lang w:eastAsia="lv-LV"/>
        </w:rPr>
        <w:t>5.2. Izpildītājs ar pieņemšanas – nodošanas aktu nodod Pasūtītājam visu ar Pakalpojuma izpildi saistīto dokumentāciju un ar pieņemšanas – nodošanas akta parakstīšanas brīdi, Pasūtītājs iegūst īpašuma tiesības uz visiem Līguma ietvaros izstrādātajiem dokumentiem.</w:t>
      </w:r>
      <w:r>
        <w:rPr/>
        <w:t xml:space="preserve"> Izpildītājam nav tiesību jebkādā veidā ierobežot Pasūtītāja tiesības brīvi un pēc saviem ieskatiem rīkoties ar tiem.</w:t>
      </w:r>
    </w:p>
    <w:p>
      <w:pPr>
        <w:pStyle w:val="Normal"/>
        <w:widowControl w:val="false"/>
        <w:overflowPunct w:val="false"/>
        <w:spacing w:lineRule="auto" w:line="240"/>
        <w:ind w:left="567" w:hanging="567"/>
        <w:jc w:val="both"/>
        <w:rPr/>
      </w:pPr>
      <w:r>
        <w:rPr>
          <w:lang w:eastAsia="lv-LV"/>
        </w:rPr>
        <w:t xml:space="preserve">5.3. Pieņemšanas – nodošanas akta parakstīšana neatbrīvo Izpildītāju no atbildības par slēptiem, akta parakstīšanas laikā nekonstatētiem, trūkumiem. </w:t>
      </w:r>
      <w:r>
        <w:rPr>
          <w:bCs/>
        </w:rPr>
        <w:t xml:space="preserve">Izpildītājs trūkumus novērš par saviem līdzekļiem. </w:t>
      </w:r>
      <w:r>
        <w:rPr/>
        <w:t xml:space="preserve">Ja Izpildītājs noteiktajā termiņā neveic prasītos labojumus, Pasūtītājam ir tiesības labošanu uzdot citai personai, un Izpildītājam ir jāsedz šo labojumu izmaksas. </w:t>
      </w:r>
    </w:p>
    <w:p>
      <w:pPr>
        <w:pStyle w:val="Normal"/>
        <w:widowControl w:val="false"/>
        <w:overflowPunct w:val="false"/>
        <w:spacing w:lineRule="auto" w:line="240"/>
        <w:jc w:val="both"/>
        <w:rPr/>
      </w:pPr>
      <w:r>
        <w:rPr/>
      </w:r>
    </w:p>
    <w:p>
      <w:pPr>
        <w:pStyle w:val="ListParagraph"/>
        <w:numPr>
          <w:ilvl w:val="0"/>
          <w:numId w:val="0"/>
        </w:numPr>
        <w:spacing w:lineRule="auto" w:line="240"/>
        <w:ind w:left="284" w:hanging="0"/>
        <w:jc w:val="center"/>
        <w:rPr>
          <w:rFonts w:ascii="Times New Roman" w:hAnsi="Times New Roman" w:cs="Times New Roman"/>
          <w:b/>
        </w:rPr>
      </w:pPr>
      <w:r>
        <w:rPr>
          <w:rFonts w:cs="Times New Roman" w:ascii="Times New Roman" w:hAnsi="Times New Roman"/>
          <w:b/>
          <w:bCs/>
        </w:rPr>
        <w:t>6. IZPILDĪTĀJA PERSONĀLS UN APAKŠUZŅĒMĒJI</w:t>
      </w:r>
    </w:p>
    <w:p>
      <w:pPr>
        <w:pStyle w:val="Normal"/>
        <w:suppressAutoHyphens w:val="true"/>
        <w:spacing w:lineRule="auto" w:line="240"/>
        <w:jc w:val="both"/>
        <w:textAlignment w:val="baseline"/>
        <w:rPr>
          <w:b/>
          <w:color w:val="000000"/>
          <w:lang w:eastAsia="ar-SA"/>
        </w:rPr>
      </w:pPr>
      <w:r>
        <w:rPr>
          <w:b/>
          <w:color w:val="000000"/>
          <w:lang w:eastAsia="ar-SA"/>
        </w:rPr>
        <w:t>Iesaistītā personāla un apakšuzņēmēju nomaiņa un jauna personāla un apakšuzņēmēju piesaiste</w:t>
      </w:r>
    </w:p>
    <w:p>
      <w:pPr>
        <w:pStyle w:val="Normal"/>
        <w:spacing w:lineRule="auto" w:line="240"/>
        <w:ind w:left="567" w:hanging="567"/>
        <w:jc w:val="both"/>
        <w:rPr>
          <w:rFonts w:eastAsia="Calibri"/>
          <w:lang w:eastAsia="lv-LV"/>
        </w:rPr>
      </w:pPr>
      <w:r>
        <w:rPr>
          <w:rFonts w:eastAsia="Calibri"/>
          <w:color w:val="000000"/>
        </w:rPr>
        <w:t xml:space="preserve">6.1. </w:t>
      </w:r>
      <w:r>
        <w:rPr>
          <w:rFonts w:eastAsia="Calibri"/>
        </w:rPr>
        <w:t>Apakšuzņēmēju un piesaistītā personāla nomaiņa pieļaujama ar Pasūtītāja rakstisku piekrišanu.</w:t>
      </w:r>
    </w:p>
    <w:p>
      <w:pPr>
        <w:pStyle w:val="Normal"/>
        <w:spacing w:lineRule="auto" w:line="240"/>
        <w:ind w:left="567" w:hanging="567"/>
        <w:jc w:val="both"/>
        <w:rPr>
          <w:rFonts w:eastAsia="Calibri"/>
        </w:rPr>
      </w:pPr>
      <w:r>
        <w:rPr>
          <w:rFonts w:eastAsia="Calibri"/>
          <w:color w:val="000000"/>
        </w:rPr>
        <w:t>6.</w:t>
      </w:r>
      <w:r>
        <w:rPr>
          <w:rFonts w:eastAsia="Calibri"/>
        </w:rPr>
        <w:t>2. Izpildītājs nav tiesīgs bez saskaņošanas ar Pasūtītāju veikt piedāvājumā norādītā personāla un apakšuzņēmēju nomaiņu un iesaistīt papildu apakšuzņēmējus līguma izpildē. Apakšuzņēmēju un piesaistītā personāla nomaiņa pieļaujama tikai ar Pasūtītāja rakstisku piekrišanu un tikai Līgumā noteiktā kārtībā un gadījumos, ja piedāvātais personāls atbilst Iepirkuma dokumentos personālam izvirzītajām prasībām. Pasūtītājs var prasīt personāla un apakšuzņēmēju viedokli par nomaiņas iemesliem.</w:t>
      </w:r>
    </w:p>
    <w:p>
      <w:pPr>
        <w:pStyle w:val="Normal"/>
        <w:spacing w:lineRule="auto" w:line="240"/>
        <w:ind w:left="567" w:hanging="567"/>
        <w:jc w:val="both"/>
        <w:rPr>
          <w:rFonts w:eastAsia="Calibri"/>
        </w:rPr>
      </w:pPr>
      <w:r>
        <w:rPr>
          <w:rFonts w:eastAsia="Calibri"/>
          <w:color w:val="000000"/>
        </w:rPr>
        <w:t>6.3.</w:t>
        <w:tab/>
      </w:r>
      <w:r>
        <w:rPr>
          <w:rFonts w:eastAsia="Calibri"/>
        </w:rPr>
        <w:t>Līguma izpildes laikā Izpildītājs paziņo Pasūtītājam par jebkurām apakšuzņēmēju sarakstā norādītās informācijas izmaiņām, kā arī papildina sarakstu ar informāciju par apakšuzņēmēju, kas tiek vēlāk iesaistīts Līguma izpildē, vismaz 2(divas) darba dienas pirms Izpildītājs iesaista Līguma izpildē jaunu apakšuzņēmēju vai nomaina esošo apakšuzņēmēju (šis nosacījums attiecināms arī uz apakšuzņēmēju apakšuzņēmējiem).</w:t>
      </w:r>
    </w:p>
    <w:p>
      <w:pPr>
        <w:pStyle w:val="Normal"/>
        <w:spacing w:lineRule="auto" w:line="240"/>
        <w:ind w:left="567" w:hanging="567"/>
        <w:jc w:val="both"/>
        <w:rPr>
          <w:rFonts w:eastAsia="Calibri"/>
        </w:rPr>
      </w:pPr>
      <w:r>
        <w:rPr>
          <w:rFonts w:eastAsia="Calibri"/>
          <w:color w:val="000000"/>
        </w:rPr>
        <w:t>6.</w:t>
      </w:r>
      <w:r>
        <w:rPr>
          <w:rFonts w:eastAsia="Calibri"/>
        </w:rPr>
        <w:t>4. Pasūtītājs nepiekrīt piedāvājumā norādītā personāla vai apakšuzņēmēju nomaiņai, ja Izpildītāja piedāvātais personāls vai apakšuzņēmējs neatbilst tām Iepirkuma dokumentos noteiktajām prasībām, kas attiecas uz Izpildītāja personālu vai apakšuzņēmēju;</w:t>
      </w:r>
    </w:p>
    <w:p>
      <w:pPr>
        <w:pStyle w:val="Normal"/>
        <w:spacing w:lineRule="auto" w:line="240"/>
        <w:ind w:left="567" w:hanging="567"/>
        <w:jc w:val="both"/>
        <w:rPr>
          <w:rFonts w:eastAsia="Calibri"/>
        </w:rPr>
      </w:pPr>
      <w:r>
        <w:rPr>
          <w:rFonts w:eastAsia="Calibri"/>
          <w:color w:val="000000"/>
        </w:rPr>
        <w:t>6.</w:t>
      </w:r>
      <w:r>
        <w:rPr>
          <w:rFonts w:eastAsia="Calibri"/>
        </w:rPr>
        <w:t xml:space="preserve">5. Pasūtītājs nepiekrīt jauna apakšuzņēmēja piesaistei gadījumā, kad šādas izmaiņas, ja tās tiktu veiktas sākotnējā piedāvājumā, būtu ietekmējušas piedāvājuma izvēli atbilstoši Iepirkuma dokumentos noteiktajiem izvērtēšanas kritērijiem. </w:t>
      </w:r>
    </w:p>
    <w:p>
      <w:pPr>
        <w:pStyle w:val="Normal"/>
        <w:suppressAutoHyphens w:val="true"/>
        <w:spacing w:lineRule="auto" w:line="240"/>
        <w:ind w:left="567" w:hanging="567"/>
        <w:jc w:val="both"/>
        <w:rPr>
          <w:rFonts w:eastAsia="Calibri"/>
        </w:rPr>
      </w:pPr>
      <w:r>
        <w:rPr>
          <w:rFonts w:eastAsia="Calibri"/>
        </w:rPr>
        <w:t>6.6. Pasūtītājs pieņem lēmumu atļaut vai atteikt Izpildītāja personāla vai apakšuzņēmēju nomaiņu vai jaunu apakšuzņēmēju iesaistīšanu Līguma izpildē iespējami īsā laikā, bet ne vēlāk kā 5 (</w:t>
      </w:r>
      <w:r>
        <w:rPr>
          <w:rFonts w:eastAsia="Calibri"/>
          <w:iCs/>
        </w:rPr>
        <w:t>piecu</w:t>
      </w:r>
      <w:r>
        <w:rPr>
          <w:rFonts w:eastAsia="Calibri"/>
        </w:rPr>
        <w:t>) darba dienu laikā pēc tam, kad saņēmis visu informāciju un dokumentus, kas nepieciešami lēmuma pieņemšanai saskaņā ar Līguma un normatīvo aktu noteikumiem.</w:t>
      </w:r>
    </w:p>
    <w:p>
      <w:pPr>
        <w:pStyle w:val="Normal"/>
        <w:spacing w:lineRule="auto" w:line="240"/>
        <w:rPr/>
      </w:pPr>
      <w:r>
        <w:rPr/>
      </w:r>
    </w:p>
    <w:p>
      <w:pPr>
        <w:pStyle w:val="Normal"/>
        <w:spacing w:lineRule="auto" w:line="240" w:before="0" w:after="160"/>
        <w:ind w:right="-766" w:hanging="0"/>
        <w:contextualSpacing/>
        <w:jc w:val="center"/>
        <w:rPr>
          <w:b/>
          <w:lang w:eastAsia="lv-LV"/>
        </w:rPr>
      </w:pPr>
      <w:r>
        <w:rPr>
          <w:b/>
          <w:lang w:eastAsia="lv-LV"/>
        </w:rPr>
        <w:t xml:space="preserve">7. KONTAKTPERSONAS </w:t>
      </w:r>
    </w:p>
    <w:p>
      <w:pPr>
        <w:pStyle w:val="Normal"/>
        <w:spacing w:lineRule="auto" w:line="240" w:before="0" w:after="160"/>
        <w:ind w:left="426" w:right="-17" w:hanging="426"/>
        <w:contextualSpacing/>
        <w:jc w:val="both"/>
        <w:rPr>
          <w:b/>
          <w:lang w:eastAsia="lv-LV"/>
        </w:rPr>
      </w:pPr>
      <w:r>
        <w:rPr>
          <w:lang w:eastAsia="lv-LV"/>
        </w:rPr>
        <w:t>7.1. Kontaktpersona no Pasūtītāja puses:_______________, kuram ir tiesības rīkoties Pasūtītāja vārdā visos jautājumos, kas attiecas uz šo Līgumu.</w:t>
      </w:r>
    </w:p>
    <w:p>
      <w:pPr>
        <w:pStyle w:val="Normal"/>
        <w:spacing w:lineRule="auto" w:line="240" w:before="0" w:after="160"/>
        <w:ind w:left="426" w:right="-17" w:hanging="426"/>
        <w:contextualSpacing/>
        <w:jc w:val="both"/>
        <w:rPr>
          <w:b/>
          <w:lang w:eastAsia="lv-LV"/>
        </w:rPr>
      </w:pPr>
      <w:r>
        <w:rPr>
          <w:lang w:eastAsia="lv-LV"/>
        </w:rPr>
        <w:t>7.2. Kontaktpersona no Izpildītāja puses:___________, kuram ir tiesības rīkoties Izpildītāja vārdā visos jautājumos, kas attiecas uz šo Līgumu.</w:t>
      </w:r>
    </w:p>
    <w:p>
      <w:pPr>
        <w:pStyle w:val="Normal"/>
        <w:spacing w:lineRule="auto" w:line="240" w:before="0" w:after="160"/>
        <w:ind w:left="426" w:right="-17" w:hanging="426"/>
        <w:contextualSpacing/>
        <w:jc w:val="both"/>
        <w:rPr>
          <w:lang w:eastAsia="lv-LV"/>
        </w:rPr>
      </w:pPr>
      <w:r>
        <w:rPr>
          <w:lang w:eastAsia="lv-LV"/>
        </w:rPr>
        <w:t>7.3. Katrai Pusei ir tiesības jebkurā laikā mainīt savu Līgumā norādīto pārstāvi. Puses nekavējoties rakstiski informē otru Pusi par pārstāvju nomaiņu. Rakstiski paziņoto pārstāvju pilnvaras ir spēkā līdz to atsaukumam.</w:t>
      </w:r>
    </w:p>
    <w:p>
      <w:pPr>
        <w:pStyle w:val="Normal"/>
        <w:spacing w:lineRule="auto" w:line="240" w:before="0" w:after="160"/>
        <w:ind w:right="-17" w:hanging="567"/>
        <w:contextualSpacing/>
        <w:jc w:val="both"/>
        <w:rPr>
          <w:b/>
          <w:lang w:eastAsia="lv-LV"/>
        </w:rPr>
      </w:pPr>
      <w:r>
        <w:rPr>
          <w:b/>
          <w:lang w:eastAsia="lv-LV"/>
        </w:rPr>
      </w:r>
    </w:p>
    <w:p>
      <w:pPr>
        <w:pStyle w:val="Normal"/>
        <w:spacing w:lineRule="auto" w:line="240"/>
        <w:ind w:right="-766" w:hanging="0"/>
        <w:jc w:val="center"/>
        <w:rPr>
          <w:b/>
          <w:color w:val="000000"/>
          <w:lang w:eastAsia="lv-LV"/>
        </w:rPr>
      </w:pPr>
      <w:r>
        <w:rPr>
          <w:b/>
          <w:color w:val="000000"/>
          <w:lang w:eastAsia="lv-LV"/>
        </w:rPr>
        <w:t xml:space="preserve">8. PUŠU ATBILDĪBA UN STRĪDU RISINĀŠANAS KĀRTĪBA </w:t>
      </w:r>
    </w:p>
    <w:p>
      <w:pPr>
        <w:pStyle w:val="Normal"/>
        <w:spacing w:lineRule="auto" w:line="240" w:before="0" w:after="0"/>
        <w:ind w:left="426" w:right="-17" w:hanging="426"/>
        <w:contextualSpacing/>
        <w:jc w:val="both"/>
        <w:rPr>
          <w:lang w:eastAsia="lv-LV"/>
        </w:rPr>
      </w:pPr>
      <w:r>
        <w:rPr>
          <w:lang w:eastAsia="lv-LV"/>
        </w:rPr>
        <w:t>8.1. Izpildītājs ir atbildīgs, lai visā Līguma darbības laikā tam būtu spēkā esošas licences un sertifikāti, saskaņā ar spēkā esošajiem normatīvajiem aktiem.</w:t>
      </w:r>
    </w:p>
    <w:p>
      <w:pPr>
        <w:pStyle w:val="Normal"/>
        <w:spacing w:lineRule="auto" w:line="240" w:before="0" w:after="160"/>
        <w:ind w:left="426" w:right="-17" w:hanging="426"/>
        <w:contextualSpacing/>
        <w:jc w:val="both"/>
        <w:rPr>
          <w:b/>
          <w:lang w:eastAsia="lv-LV"/>
        </w:rPr>
      </w:pPr>
      <w:r>
        <w:rPr>
          <w:rFonts w:eastAsia="Arial"/>
          <w:lang w:eastAsia="lv-LV"/>
        </w:rPr>
        <w:t>8.2. Puses ir atbildīgas par Līguma nepienācīgu izpildi vai neizpildi saskaņā ar Latvijas Republikā spēkā esošajiem normatīvajiem aktiem.</w:t>
      </w:r>
    </w:p>
    <w:p>
      <w:pPr>
        <w:pStyle w:val="Normal"/>
        <w:spacing w:lineRule="auto" w:line="240" w:before="0" w:after="160"/>
        <w:ind w:right="-17" w:hanging="0"/>
        <w:contextualSpacing/>
        <w:jc w:val="both"/>
        <w:rPr>
          <w:b/>
          <w:lang w:eastAsia="lv-LV"/>
        </w:rPr>
      </w:pPr>
      <w:r>
        <w:rPr>
          <w:lang w:eastAsia="lv-LV"/>
        </w:rPr>
        <w:t>8.3.</w:t>
      </w:r>
      <w:r>
        <w:rPr>
          <w:b/>
          <w:lang w:eastAsia="lv-LV"/>
        </w:rPr>
        <w:t xml:space="preserve"> </w:t>
      </w:r>
      <w:r>
        <w:rPr/>
        <w:t>Pēc Pasūtītāja pieprasījuma Izpildītājs maksā līgumsodu šādos gadījumos un apmēros:</w:t>
      </w:r>
    </w:p>
    <w:p>
      <w:pPr>
        <w:pStyle w:val="Normal"/>
        <w:numPr>
          <w:ilvl w:val="2"/>
          <w:numId w:val="18"/>
        </w:numPr>
        <w:spacing w:lineRule="auto" w:line="240"/>
        <w:ind w:left="567" w:hanging="0"/>
        <w:jc w:val="both"/>
        <w:rPr>
          <w:rFonts w:eastAsia="Arial Unicode MS"/>
        </w:rPr>
      </w:pPr>
      <w:r>
        <w:rPr>
          <w:rFonts w:eastAsia="Arial Unicode MS"/>
        </w:rPr>
        <w:t xml:space="preserve">par </w:t>
      </w:r>
      <w:r>
        <w:rPr>
          <w:lang w:eastAsia="lv-LV"/>
        </w:rPr>
        <w:t xml:space="preserve">Līgumā noteikto saistību izpildes un/vai nodošanas termiņu (atbilstoši Izpildītāja iesniegtajam Pakalpojuma izpildes laika grafikam) </w:t>
      </w:r>
      <w:r>
        <w:rPr>
          <w:rFonts w:eastAsia="Arial Unicode MS"/>
        </w:rPr>
        <w:t xml:space="preserve">neievērošanu - 0,1 % (nulle komats viens procents) no Līgumcenas </w:t>
      </w:r>
      <w:r>
        <w:rPr>
          <w:lang w:eastAsia="lv-LV"/>
        </w:rPr>
        <w:t>bez PVN</w:t>
      </w:r>
      <w:r>
        <w:rPr>
          <w:rFonts w:eastAsia="Arial Unicode MS"/>
        </w:rPr>
        <w:t xml:space="preserve"> par katru nokavēto dienu, bet ne vairāk kā 10 % (desmit procenti) no Līgumcenas </w:t>
      </w:r>
      <w:r>
        <w:rPr>
          <w:lang w:eastAsia="lv-LV"/>
        </w:rPr>
        <w:t>bez PVN</w:t>
      </w:r>
      <w:r>
        <w:rPr>
          <w:rFonts w:eastAsia="Arial Unicode MS"/>
        </w:rPr>
        <w:t>;</w:t>
      </w:r>
      <w:r>
        <w:rPr/>
        <w:t>;</w:t>
      </w:r>
    </w:p>
    <w:p>
      <w:pPr>
        <w:pStyle w:val="Normal"/>
        <w:numPr>
          <w:ilvl w:val="2"/>
          <w:numId w:val="19"/>
        </w:numPr>
        <w:spacing w:lineRule="auto" w:line="240"/>
        <w:ind w:left="567" w:hanging="0"/>
        <w:jc w:val="both"/>
        <w:rPr>
          <w:rFonts w:eastAsia="Arial Unicode MS"/>
        </w:rPr>
      </w:pPr>
      <w:r>
        <w:rPr/>
        <w:t xml:space="preserve">ja Izpildītājs atkārtoti pārkāpj kādu no Līguma noteikumiem, par kuriem Pasūtītājs rakstiski ir informējis Izpildītāju - 500,00 EUR (pieci simti </w:t>
      </w:r>
      <w:r>
        <w:rPr>
          <w:i/>
        </w:rPr>
        <w:t xml:space="preserve">euro </w:t>
      </w:r>
      <w:r>
        <w:rPr/>
        <w:t>00 centi) par katru konstatēto gadījumu.</w:t>
      </w:r>
    </w:p>
    <w:p>
      <w:pPr>
        <w:pStyle w:val="Normal"/>
        <w:spacing w:lineRule="auto" w:line="240" w:before="0" w:after="160"/>
        <w:ind w:left="567" w:right="-17" w:hanging="567"/>
        <w:contextualSpacing/>
        <w:jc w:val="both"/>
        <w:rPr>
          <w:b/>
          <w:lang w:eastAsia="lv-LV"/>
        </w:rPr>
      </w:pPr>
      <w:r>
        <w:rPr>
          <w:lang w:eastAsia="lv-LV"/>
        </w:rPr>
        <w:t xml:space="preserve">8.4. </w:t>
      </w:r>
      <w:r>
        <w:rPr/>
        <w:t>Pēc Izpildītāja pieprasījuma</w:t>
      </w:r>
      <w:r>
        <w:rPr>
          <w:lang w:eastAsia="lv-LV"/>
        </w:rPr>
        <w:t xml:space="preserve">, Pasūtītājs maksā līgumsodu par </w:t>
      </w:r>
      <w:r>
        <w:rPr/>
        <w:t>Izpildītājam pienākošos maksājumu neveikšanu</w:t>
      </w:r>
      <w:r>
        <w:rPr>
          <w:lang w:eastAsia="lv-LV"/>
        </w:rPr>
        <w:t xml:space="preserve">, </w:t>
      </w:r>
      <w:r>
        <w:rPr>
          <w:rFonts w:eastAsia="Arial Unicode MS"/>
        </w:rPr>
        <w:t xml:space="preserve">0,1 % (nulle komats viens procents) no kavētā maksājuma </w:t>
      </w:r>
      <w:r>
        <w:rPr>
          <w:lang w:eastAsia="lv-LV"/>
        </w:rPr>
        <w:t>bez PVN,</w:t>
      </w:r>
      <w:r>
        <w:rPr>
          <w:rFonts w:eastAsia="Arial Unicode MS"/>
        </w:rPr>
        <w:t xml:space="preserve"> </w:t>
      </w:r>
      <w:r>
        <w:rPr>
          <w:lang w:eastAsia="lv-LV"/>
        </w:rPr>
        <w:t>bet ne vairāk kā 10 % (desmit procenti) no kavētā maksājuma bez PVN.</w:t>
      </w:r>
    </w:p>
    <w:p>
      <w:pPr>
        <w:pStyle w:val="Normal"/>
        <w:spacing w:lineRule="auto" w:line="240" w:before="0" w:after="160"/>
        <w:ind w:left="567" w:right="-17" w:hanging="567"/>
        <w:contextualSpacing/>
        <w:jc w:val="both"/>
        <w:rPr>
          <w:spacing w:val="-3"/>
        </w:rPr>
      </w:pPr>
      <w:r>
        <w:rPr>
          <w:lang w:eastAsia="lv-LV"/>
        </w:rPr>
        <w:t>8.5.</w:t>
      </w:r>
      <w:r>
        <w:rPr>
          <w:b/>
          <w:lang w:eastAsia="lv-LV"/>
        </w:rPr>
        <w:t xml:space="preserve"> </w:t>
      </w:r>
      <w:r>
        <w:rPr>
          <w:spacing w:val="-3"/>
        </w:rPr>
        <w:t>Izbeidzot Līgumu pēc vienas Puses iniciatīvas, kas ir saistītas ar otras Puses līgumsaistību neizpildi vai nepienācīgu izpildi, vainīgā Puse maksā otrai Pusei līgumsodu 10 % (desmit procenti) apmērā no Līgumcenas bez PVN.</w:t>
      </w:r>
    </w:p>
    <w:p>
      <w:pPr>
        <w:pStyle w:val="Normal"/>
        <w:spacing w:lineRule="auto" w:line="240" w:before="0" w:after="160"/>
        <w:ind w:left="567" w:right="-17" w:hanging="567"/>
        <w:contextualSpacing/>
        <w:jc w:val="both"/>
        <w:rPr>
          <w:b/>
          <w:lang w:eastAsia="lv-LV"/>
        </w:rPr>
      </w:pPr>
      <w:r>
        <w:rPr>
          <w:spacing w:val="-3"/>
        </w:rPr>
        <w:t xml:space="preserve">8.6. </w:t>
      </w:r>
      <w:r>
        <w:rPr>
          <w:lang w:eastAsia="lv-LV"/>
        </w:rPr>
        <w:t>Līgumsoda samaksa neatbrīvo no Līgumā paredzēto saistību veikšanas.</w:t>
      </w:r>
    </w:p>
    <w:p>
      <w:pPr>
        <w:pStyle w:val="Normal"/>
        <w:spacing w:lineRule="auto" w:line="240" w:before="0" w:after="160"/>
        <w:ind w:left="567" w:right="-17" w:hanging="567"/>
        <w:contextualSpacing/>
        <w:jc w:val="both"/>
        <w:rPr>
          <w:b/>
          <w:lang w:eastAsia="lv-LV"/>
        </w:rPr>
      </w:pPr>
      <w:r>
        <w:rPr>
          <w:lang w:eastAsia="lv-LV"/>
        </w:rPr>
        <w:t>8.7. Jebkuru līgumsodu, kas saskaņā ar Līgumu pienākas un ir maksājams Pasūtītājam, Pasūtītājs ir tiesīgs ieturēt no Izpildītājam izmaksājamās Līgumcenas.</w:t>
      </w:r>
    </w:p>
    <w:p>
      <w:pPr>
        <w:pStyle w:val="Normal"/>
        <w:spacing w:lineRule="auto" w:line="240" w:before="0" w:after="160"/>
        <w:ind w:left="567" w:right="-17" w:hanging="567"/>
        <w:contextualSpacing/>
        <w:jc w:val="both"/>
        <w:rPr>
          <w:b/>
          <w:lang w:eastAsia="lv-LV"/>
        </w:rPr>
      </w:pPr>
      <w:r>
        <w:rPr>
          <w:lang w:eastAsia="lv-LV"/>
        </w:rPr>
        <w:t>8.8. Puses nav atbildīgas viena otrai par Līguma saistību neizpildi vai nepienācīgu izpildi, ja iestājas nepārvaramas varas apstākļi, tādi kā ugunsgrēks, dabas stihija, jebkura rakstura karadarbība, kā arī jebkuri ārkārtēja rakstura apstākļi, kurus Puses nevarēja ne paredzēt, ne novērst. Ja nepārvaramas varas apstākļi ilgāk nekā 2 (divus) kalendāros mēnešus pēc kārtas, Puses ir tiesīgas vienpusēji lauzt Līgumu. Šajā gadījumā neviena no Pusēm nav tiesīga pieprasīt zaudējumu atlīdzināšanu, kas radušies šādā veidā.</w:t>
      </w:r>
    </w:p>
    <w:p>
      <w:pPr>
        <w:pStyle w:val="Normal"/>
        <w:spacing w:lineRule="auto" w:line="240" w:before="0" w:after="160"/>
        <w:ind w:left="567" w:right="-17" w:hanging="567"/>
        <w:contextualSpacing/>
        <w:jc w:val="both"/>
        <w:rPr>
          <w:lang w:eastAsia="lv-LV"/>
        </w:rPr>
      </w:pPr>
      <w:r>
        <w:rPr>
          <w:lang w:eastAsia="lv-LV"/>
        </w:rPr>
        <w:t>8.9. Strīdus, kas varētu rasties starp Pusēm Līguma izpildes laikā, Puses risina savstarpējo sarunu ceļā, savukārt ja strīdu nav iespējams atrisināt savstarpējo sarunu ceļā, tad strīds izskatāms tiesā Latvijas Republikas normatīvajos aktos paredzētajā kārtībā.</w:t>
      </w:r>
    </w:p>
    <w:p>
      <w:pPr>
        <w:pStyle w:val="Normal"/>
        <w:spacing w:lineRule="auto" w:line="240" w:before="0" w:after="160"/>
        <w:ind w:left="567" w:right="-17" w:hanging="567"/>
        <w:contextualSpacing/>
        <w:jc w:val="both"/>
        <w:rPr>
          <w:lang w:eastAsia="lv-LV"/>
        </w:rPr>
      </w:pPr>
      <w:r>
        <w:rPr>
          <w:lang w:eastAsia="lv-LV"/>
        </w:rPr>
      </w:r>
    </w:p>
    <w:p>
      <w:pPr>
        <w:pStyle w:val="Normal"/>
        <w:numPr>
          <w:ilvl w:val="0"/>
          <w:numId w:val="20"/>
        </w:numPr>
        <w:spacing w:lineRule="auto" w:line="240"/>
        <w:ind w:left="284" w:hanging="284"/>
        <w:jc w:val="center"/>
        <w:rPr>
          <w:bCs/>
        </w:rPr>
      </w:pPr>
      <w:r>
        <w:rPr>
          <w:b/>
          <w:bCs/>
        </w:rPr>
        <w:t>ZAUDĒJUMU ATLĪDZĪBA</w:t>
      </w:r>
    </w:p>
    <w:p>
      <w:pPr>
        <w:pStyle w:val="Normal"/>
        <w:numPr>
          <w:ilvl w:val="1"/>
          <w:numId w:val="21"/>
        </w:numPr>
        <w:spacing w:lineRule="auto" w:line="240"/>
        <w:ind w:left="426" w:hanging="426"/>
        <w:jc w:val="both"/>
        <w:rPr>
          <w:rFonts w:eastAsia="Arial Unicode MS"/>
          <w:spacing w:val="-3"/>
        </w:rPr>
      </w:pPr>
      <w:r>
        <w:rPr>
          <w:rFonts w:eastAsia="Arial Unicode MS"/>
          <w:spacing w:val="-3"/>
        </w:rPr>
        <w:t>Izpildītajam ir tiesības prasīt zaudējumu atlīdzību gadījumos, ja:</w:t>
      </w:r>
    </w:p>
    <w:p>
      <w:pPr>
        <w:pStyle w:val="Normal"/>
        <w:numPr>
          <w:ilvl w:val="2"/>
          <w:numId w:val="22"/>
        </w:numPr>
        <w:spacing w:lineRule="auto" w:line="240"/>
        <w:ind w:left="709" w:hanging="0"/>
        <w:jc w:val="both"/>
        <w:rPr>
          <w:rFonts w:eastAsia="Arial Unicode MS"/>
          <w:spacing w:val="-3"/>
        </w:rPr>
      </w:pPr>
      <w:r>
        <w:rPr>
          <w:rFonts w:eastAsia="Arial Unicode MS"/>
          <w:spacing w:val="-3"/>
        </w:rPr>
        <w:t>Pasūtītājs nepamatoti nesaskaņo speciālistu un/vai apakšuzņēmēju maiņu;</w:t>
      </w:r>
    </w:p>
    <w:p>
      <w:pPr>
        <w:pStyle w:val="Normal"/>
        <w:numPr>
          <w:ilvl w:val="2"/>
          <w:numId w:val="23"/>
        </w:numPr>
        <w:spacing w:lineRule="auto" w:line="240"/>
        <w:ind w:left="709" w:hanging="0"/>
        <w:jc w:val="both"/>
        <w:rPr>
          <w:rFonts w:eastAsia="Arial Unicode MS"/>
          <w:spacing w:val="-3"/>
        </w:rPr>
      </w:pPr>
      <w:r>
        <w:rPr>
          <w:rFonts w:eastAsia="Arial Unicode MS"/>
          <w:spacing w:val="-3"/>
        </w:rPr>
        <w:t>Citos gadījumos, kad Pasūtītāja vainas dēļ Izpildītājam ir radušies zaudējumi.</w:t>
      </w:r>
    </w:p>
    <w:p>
      <w:pPr>
        <w:pStyle w:val="Normal"/>
        <w:numPr>
          <w:ilvl w:val="1"/>
          <w:numId w:val="24"/>
        </w:numPr>
        <w:spacing w:lineRule="auto" w:line="240"/>
        <w:ind w:left="426" w:hanging="426"/>
        <w:jc w:val="both"/>
        <w:rPr>
          <w:rFonts w:eastAsia="Arial Unicode MS"/>
          <w:spacing w:val="-3"/>
        </w:rPr>
      </w:pPr>
      <w:r>
        <w:rPr>
          <w:rFonts w:eastAsia="Arial Unicode MS"/>
          <w:spacing w:val="-3"/>
        </w:rPr>
        <w:t xml:space="preserve">Pasūtītājam ir tiesības saņemt zaudējumu atlīdzību gadījumos, ja: </w:t>
      </w:r>
    </w:p>
    <w:p>
      <w:pPr>
        <w:pStyle w:val="Normal"/>
        <w:numPr>
          <w:ilvl w:val="2"/>
          <w:numId w:val="25"/>
        </w:numPr>
        <w:spacing w:lineRule="auto" w:line="240"/>
        <w:ind w:left="709" w:hanging="0"/>
        <w:jc w:val="both"/>
        <w:rPr>
          <w:rFonts w:eastAsia="Arial Unicode MS"/>
          <w:spacing w:val="-3"/>
        </w:rPr>
      </w:pPr>
      <w:r>
        <w:rPr>
          <w:rFonts w:eastAsia="Arial Unicode MS"/>
          <w:spacing w:val="-3"/>
        </w:rPr>
        <w:t>Izpildītājs Pasūtītāja norādītajā termiņā nav novērsis Pakalpojuma izpildē atklātās kļūdas un trūkumus;</w:t>
      </w:r>
    </w:p>
    <w:p>
      <w:pPr>
        <w:pStyle w:val="Normal"/>
        <w:numPr>
          <w:ilvl w:val="2"/>
          <w:numId w:val="26"/>
        </w:numPr>
        <w:spacing w:lineRule="auto" w:line="240"/>
        <w:ind w:left="709" w:hanging="0"/>
        <w:jc w:val="both"/>
        <w:rPr>
          <w:rFonts w:eastAsia="Arial Unicode MS"/>
          <w:spacing w:val="-3"/>
        </w:rPr>
      </w:pPr>
      <w:r>
        <w:rPr>
          <w:rFonts w:eastAsia="Arial Unicode MS"/>
          <w:spacing w:val="-3"/>
        </w:rPr>
        <w:t>Citos gadījumos, kad Izpildītāja vainas dēļ Pasūtītājam ir radušies zaudējumi.</w:t>
      </w:r>
    </w:p>
    <w:p>
      <w:pPr>
        <w:pStyle w:val="Normal"/>
        <w:numPr>
          <w:ilvl w:val="1"/>
          <w:numId w:val="27"/>
        </w:numPr>
        <w:spacing w:lineRule="auto" w:line="240"/>
        <w:ind w:left="426" w:hanging="426"/>
        <w:jc w:val="both"/>
        <w:rPr>
          <w:rFonts w:eastAsia="Arial Unicode MS"/>
          <w:spacing w:val="-3"/>
        </w:rPr>
      </w:pPr>
      <w:r>
        <w:rPr>
          <w:rFonts w:eastAsia="Arial Unicode MS"/>
          <w:spacing w:val="-3"/>
        </w:rPr>
        <w:t>Puses savlaicīgi brīdina viena otru par zaudējumus radošu gadījumu iestāšanos, lai varētu pretendēt uz zaudējumu atlīdzības saņemšanu.</w:t>
      </w:r>
    </w:p>
    <w:p>
      <w:pPr>
        <w:pStyle w:val="Normal"/>
        <w:spacing w:lineRule="auto" w:line="240"/>
        <w:jc w:val="both"/>
        <w:rPr>
          <w:rFonts w:eastAsia="Arial Unicode MS"/>
          <w:color w:val="FF0000"/>
          <w:spacing w:val="-3"/>
        </w:rPr>
      </w:pPr>
      <w:r>
        <w:rPr>
          <w:rFonts w:eastAsia="Arial Unicode MS"/>
          <w:color w:val="FF0000"/>
          <w:spacing w:val="-3"/>
        </w:rPr>
      </w:r>
    </w:p>
    <w:p>
      <w:pPr>
        <w:pStyle w:val="Normal"/>
        <w:spacing w:lineRule="auto" w:line="240" w:before="0" w:after="160"/>
        <w:ind w:right="-766" w:hanging="0"/>
        <w:contextualSpacing/>
        <w:jc w:val="center"/>
        <w:rPr>
          <w:b/>
          <w:lang w:eastAsia="lv-LV"/>
        </w:rPr>
      </w:pPr>
      <w:r>
        <w:rPr>
          <w:b/>
          <w:lang w:eastAsia="lv-LV"/>
        </w:rPr>
        <w:t xml:space="preserve">10. LĪGUMA IZBEIGŠANA </w:t>
      </w:r>
    </w:p>
    <w:p>
      <w:pPr>
        <w:pStyle w:val="Normal"/>
        <w:spacing w:lineRule="auto" w:line="240" w:before="0" w:after="160"/>
        <w:ind w:left="567" w:right="-17" w:hanging="567"/>
        <w:contextualSpacing/>
        <w:jc w:val="both"/>
        <w:rPr>
          <w:b/>
          <w:lang w:eastAsia="lv-LV"/>
        </w:rPr>
      </w:pPr>
      <w:r>
        <w:rPr>
          <w:lang w:eastAsia="lv-LV"/>
        </w:rPr>
        <w:t>10.1. Pasūtītājs ir tiesīgs vienpusēji izbeigt Līgumu sekojošos gadījumos, rakstveidā paziņojot par to Izpildītājam, vismaz 20 (divdesmit) dienas iepriekš:</w:t>
      </w:r>
    </w:p>
    <w:p>
      <w:pPr>
        <w:pStyle w:val="Normal"/>
        <w:spacing w:lineRule="auto" w:line="240" w:before="0" w:after="160"/>
        <w:ind w:left="709" w:right="-17" w:hanging="0"/>
        <w:contextualSpacing/>
        <w:jc w:val="both"/>
        <w:rPr>
          <w:b/>
          <w:lang w:eastAsia="lv-LV"/>
        </w:rPr>
      </w:pPr>
      <w:r>
        <w:rPr>
          <w:lang w:eastAsia="lv-LV"/>
        </w:rPr>
        <w:t>10.1.1. ja Izpildītājs tiek pasludināts par maksātnespējīgu, vai ir sākta Izpildītāja likvidācijas procedūra;</w:t>
      </w:r>
    </w:p>
    <w:p>
      <w:pPr>
        <w:pStyle w:val="Normal"/>
        <w:spacing w:lineRule="auto" w:line="240" w:before="0" w:after="160"/>
        <w:ind w:left="709" w:right="-17" w:hanging="0"/>
        <w:contextualSpacing/>
        <w:jc w:val="both"/>
        <w:rPr>
          <w:b/>
          <w:lang w:eastAsia="lv-LV"/>
        </w:rPr>
      </w:pPr>
      <w:r>
        <w:rPr>
          <w:lang w:eastAsia="lv-LV"/>
        </w:rPr>
        <w:t>10.1.2. ja tiek apturēta vai izbeigta Izpildītāja vai tā apakšuzņēmēju profesionālās darbības sertifikāta/atļaujas darbība;</w:t>
      </w:r>
    </w:p>
    <w:p>
      <w:pPr>
        <w:pStyle w:val="Normal"/>
        <w:spacing w:lineRule="auto" w:line="240" w:before="0" w:after="160"/>
        <w:ind w:left="709" w:right="-17" w:hanging="0"/>
        <w:contextualSpacing/>
        <w:jc w:val="both"/>
        <w:rPr>
          <w:b/>
          <w:lang w:eastAsia="lv-LV"/>
        </w:rPr>
      </w:pPr>
      <w:r>
        <w:rPr>
          <w:lang w:eastAsia="lv-LV"/>
        </w:rPr>
        <w:t>10.1.3. ja Izpildītājs savas vainas dēļ pieļauj Līgumā noteikto saistību izpildes kavējumu un kavējums pārsniedz 20 (divdesmit) dienas;</w:t>
      </w:r>
    </w:p>
    <w:p>
      <w:pPr>
        <w:pStyle w:val="Normal"/>
        <w:spacing w:lineRule="auto" w:line="240" w:before="0" w:after="160"/>
        <w:ind w:left="709" w:right="-17" w:hanging="0"/>
        <w:contextualSpacing/>
        <w:jc w:val="both"/>
        <w:rPr>
          <w:b/>
          <w:lang w:eastAsia="lv-LV"/>
        </w:rPr>
      </w:pPr>
      <w:r>
        <w:rPr>
          <w:lang w:eastAsia="lv-LV"/>
        </w:rPr>
        <w:t>10.1.4. ja Izpildītājs veic Pakalpojumu nekvalitatīvi, pieļaujot trūkumus vai kļūdas;</w:t>
      </w:r>
    </w:p>
    <w:p>
      <w:pPr>
        <w:pStyle w:val="Normal"/>
        <w:spacing w:lineRule="auto" w:line="240" w:before="0" w:after="160"/>
        <w:ind w:left="709" w:right="-17" w:hanging="0"/>
        <w:contextualSpacing/>
        <w:jc w:val="both"/>
        <w:rPr>
          <w:lang w:eastAsia="lv-LV"/>
        </w:rPr>
      </w:pPr>
      <w:r>
        <w:rPr>
          <w:lang w:eastAsia="lv-LV"/>
        </w:rPr>
        <w:t>10.1.5. ja Izpildītājs nenovērš defektus un/vai nepilnības veiktā Pakalpojuma izpildē Līgumā paredzētajā kārtībā;</w:t>
      </w:r>
    </w:p>
    <w:p>
      <w:pPr>
        <w:pStyle w:val="Normal"/>
        <w:spacing w:lineRule="auto" w:line="240" w:before="0" w:after="160"/>
        <w:ind w:left="709" w:right="-17" w:hanging="0"/>
        <w:contextualSpacing/>
        <w:jc w:val="both"/>
        <w:rPr>
          <w:b/>
          <w:lang w:eastAsia="lv-LV"/>
        </w:rPr>
      </w:pPr>
      <w:r>
        <w:rPr>
          <w:lang w:eastAsia="lv-LV"/>
        </w:rPr>
        <w:t>10</w:t>
      </w:r>
      <w:r>
        <w:rPr/>
        <w:t>.1.6. par atkārtotiem Līguma noteikumu pārkāpumiem Izpildītājam piemēroto līgumsodu kopsumma pārsniedz 10 % (desmit procentus)</w:t>
      </w:r>
      <w:r>
        <w:rPr>
          <w:color w:val="FF0000"/>
        </w:rPr>
        <w:t xml:space="preserve"> </w:t>
      </w:r>
      <w:r>
        <w:rPr/>
        <w:t xml:space="preserve">no Līgumcenas </w:t>
      </w:r>
      <w:r>
        <w:rPr>
          <w:lang w:eastAsia="lv-LV"/>
        </w:rPr>
        <w:t>bez PVN</w:t>
      </w:r>
      <w:r>
        <w:rPr/>
        <w:t>.</w:t>
      </w:r>
    </w:p>
    <w:p>
      <w:pPr>
        <w:pStyle w:val="Normal"/>
        <w:spacing w:lineRule="auto" w:line="240"/>
        <w:ind w:left="567" w:hanging="567"/>
        <w:jc w:val="both"/>
        <w:rPr/>
      </w:pPr>
      <w:r>
        <w:rPr>
          <w:lang w:eastAsia="lv-LV"/>
        </w:rPr>
        <w:t xml:space="preserve">10.2. </w:t>
      </w:r>
      <w:r>
        <w:rPr/>
        <w:t xml:space="preserve">Izbeidzot Līgumu </w:t>
      </w:r>
      <w:r>
        <w:rPr>
          <w:lang w:eastAsia="lv-LV"/>
        </w:rPr>
        <w:t>10</w:t>
      </w:r>
      <w:r>
        <w:rPr/>
        <w:t xml:space="preserve">.1. punktā noteiktajos gadījumos, Puses sagatavo atsevišķu aktu par faktiski kvalitatīvi veikto Pakalpojumu. Sagatavojot aktu, Puses ņem vērā veiktā Pakalpojuma kvalitāti. Puses savstarpējo norēķinu šajā punktā minētajā gadījumā veic 20 (divdesmit) dienu laikā pēc minētā akta parakstīšanas. </w:t>
      </w:r>
    </w:p>
    <w:p>
      <w:pPr>
        <w:pStyle w:val="Normal"/>
        <w:spacing w:lineRule="auto" w:line="240" w:before="0" w:after="0"/>
        <w:ind w:left="567" w:right="-17" w:hanging="567"/>
        <w:contextualSpacing/>
        <w:jc w:val="both"/>
        <w:rPr>
          <w:lang w:eastAsia="lv-LV"/>
        </w:rPr>
      </w:pPr>
      <w:r>
        <w:rPr>
          <w:lang w:eastAsia="lv-LV"/>
        </w:rPr>
        <w:t>10.3. Līguma izbeigšanas gadījumā Izpildītājam jānodod Pasūtītājam izstrādātais Būvobjekts esošajā apjomā.</w:t>
      </w:r>
    </w:p>
    <w:p>
      <w:pPr>
        <w:pStyle w:val="Normal"/>
        <w:spacing w:lineRule="auto" w:line="240" w:before="0" w:after="0"/>
        <w:ind w:left="567" w:right="-17" w:hanging="567"/>
        <w:contextualSpacing/>
        <w:jc w:val="both"/>
        <w:rPr>
          <w:lang w:eastAsia="lv-LV"/>
        </w:rPr>
      </w:pPr>
      <w:r>
        <w:rPr>
          <w:lang w:eastAsia="lv-LV"/>
        </w:rPr>
        <w:t>10.4. Izpildītājs ir tiesīgs vienpusēji izbeigt Līgumu, rakstveidā par to paziņojot Pasūtītājam vismaz 20 (divdesmit) dienas iepriekš, ja maksājuma kavējums pārsniedz 10 (desmit) darba dienas.</w:t>
      </w:r>
    </w:p>
    <w:p>
      <w:pPr>
        <w:pStyle w:val="Normal"/>
        <w:spacing w:lineRule="auto" w:line="240" w:before="0" w:after="0"/>
        <w:ind w:left="567" w:right="-17" w:hanging="567"/>
        <w:contextualSpacing/>
        <w:jc w:val="both"/>
        <w:rPr>
          <w:lang w:eastAsia="lv-LV"/>
        </w:rPr>
      </w:pPr>
      <w:r>
        <w:rPr/>
        <w:t>10.5. Pasūtītājs ir tiesīgs vienpusēji izbeigt Līgumu, ja Izpildītājam vai tā valdes vai padomes loceklim, patieso labuma guvējam, pārstāvēttiesīgajai personai vai prokūristam, vai personai, kura ir pilnvarota pārstāvēt Izpildītāju darbībās, kas saistītas ar filiāli, vai personālsabiedrības biedram, tā valdes vai padomes loceklim, patiesā labuma guvējam, pārstāvēttiesīgajai personai vai prokūristam, ja Izpildītājs ir personālsabiedrība, ir noteiktas starptautiskās vai nacionālās sankcijas vai būtiskas finanšu un kapitāla tirgus intereses ietekmējošas Eiropas Savienības vai Ziemeļatlantijas līguma organizācijas dalībvalsts sankcijas, kuras ietekmē Līguma izpildi..</w:t>
      </w:r>
    </w:p>
    <w:p>
      <w:pPr>
        <w:pStyle w:val="Normal"/>
        <w:spacing w:lineRule="auto" w:line="240" w:before="0" w:after="0"/>
        <w:ind w:left="567" w:right="-17" w:hanging="567"/>
        <w:contextualSpacing/>
        <w:jc w:val="both"/>
        <w:rPr/>
      </w:pPr>
      <w:r>
        <w:rPr>
          <w:lang w:eastAsia="lv-LV"/>
        </w:rPr>
        <w:t xml:space="preserve">10.6. </w:t>
      </w:r>
      <w:r>
        <w:rPr/>
        <w:t xml:space="preserve">Līguma izbeigšana saistību neizpildes dēļ neierobežo Pasūtītāja tiesības uz zaudējumu atlīdzību vai līgumsodu. </w:t>
      </w:r>
    </w:p>
    <w:p>
      <w:pPr>
        <w:pStyle w:val="Normal"/>
        <w:spacing w:lineRule="auto" w:line="240" w:before="0" w:after="0"/>
        <w:ind w:right="-17" w:hanging="0"/>
        <w:contextualSpacing/>
        <w:jc w:val="both"/>
        <w:rPr/>
      </w:pPr>
      <w:r>
        <w:rPr/>
      </w:r>
    </w:p>
    <w:p>
      <w:pPr>
        <w:pStyle w:val="Normal"/>
        <w:tabs>
          <w:tab w:val="clear" w:pos="720"/>
          <w:tab w:val="right" w:pos="0" w:leader="none"/>
        </w:tabs>
        <w:spacing w:lineRule="auto" w:line="240"/>
        <w:jc w:val="center"/>
        <w:rPr>
          <w:i/>
          <w:i/>
        </w:rPr>
      </w:pPr>
      <w:r>
        <w:rPr>
          <w:b/>
          <w:bCs/>
        </w:rPr>
        <w:t>11. FIZISKO PERSONU DATU AIZSARDZĪBA</w:t>
      </w:r>
    </w:p>
    <w:p>
      <w:pPr>
        <w:pStyle w:val="Normal"/>
        <w:suppressAutoHyphens w:val="true"/>
        <w:spacing w:lineRule="auto" w:line="240"/>
        <w:ind w:left="567" w:hanging="567"/>
        <w:jc w:val="both"/>
        <w:rPr>
          <w:i/>
          <w:i/>
        </w:rPr>
      </w:pPr>
      <w:r>
        <w:rPr/>
        <w:t>11.1. Pusei ir tiesības apstrādāt no otras puses iegūtos fizisko personu datus tikai ar mērķi nodrošināt Līgumā noteikto saistību izpildi, ievērojot tiesību normatīvajos aktos noteiktās prasības šādu datu apstrādei un aizsardzībai, tajā skaitā no 2018.gada 25.maija ievērojot Eiropas Parlamenta un Padomes 2016. gada 27. aprīļa Regulas (ES) 2016/679 par fizisku personu aizsardzību attiecībā uz personas datu apstrādi un šādu datu brīvu apriti un ar ko atceļ Direktīvu 95/46/EK (Vispārīgā datu aizsardzības regula) prasības.</w:t>
      </w:r>
    </w:p>
    <w:p>
      <w:pPr>
        <w:pStyle w:val="Normal"/>
        <w:suppressAutoHyphens w:val="true"/>
        <w:spacing w:lineRule="auto" w:line="240"/>
        <w:ind w:left="567" w:hanging="567"/>
        <w:jc w:val="both"/>
        <w:rPr>
          <w:i/>
          <w:i/>
        </w:rPr>
      </w:pPr>
      <w:r>
        <w:rPr/>
        <w:t>11.2. P</w:t>
      </w:r>
      <w:r>
        <w:rPr>
          <w:rFonts w:cs="Times New Roman"/>
        </w:rPr>
        <w:t>use, kura nodod otrai pusei fizisko personu datus apstrādei, atbild par piekrišanu iegūšanu no attiecīgajiem datu subjektiem vai cita pamatojuma esību fizisko personu datu likumīgai apstrādei.</w:t>
      </w:r>
    </w:p>
    <w:p>
      <w:pPr>
        <w:pStyle w:val="ListParagraph"/>
        <w:suppressAutoHyphens w:val="true"/>
        <w:spacing w:lineRule="auto" w:line="240"/>
        <w:ind w:left="567" w:hanging="567"/>
        <w:jc w:val="both"/>
        <w:rPr>
          <w:rFonts w:ascii="Times New Roman" w:hAnsi="Times New Roman" w:cs="Times New Roman"/>
          <w:i/>
          <w:i/>
        </w:rPr>
      </w:pPr>
      <w:r>
        <w:rPr>
          <w:rFonts w:cs="Times New Roman" w:ascii="Times New Roman" w:hAnsi="Times New Roman"/>
        </w:rPr>
        <w:t>11.3. Puses apņemas nenodot tālāk trešajām personām no otras Puses iegūtos fizisko personu datus, izņemot gadījumus, kad līgumā ir noteikts citādāk vai tiesību normatīvie akti paredz šādu datu nodošanu.</w:t>
      </w:r>
    </w:p>
    <w:p>
      <w:pPr>
        <w:pStyle w:val="ListParagraph"/>
        <w:suppressAutoHyphens w:val="true"/>
        <w:spacing w:lineRule="auto" w:line="240"/>
        <w:ind w:left="567" w:hanging="567"/>
        <w:jc w:val="both"/>
        <w:rPr>
          <w:rFonts w:ascii="Times New Roman" w:hAnsi="Times New Roman" w:cs="Times New Roman"/>
          <w:i/>
          <w:i/>
        </w:rPr>
      </w:pPr>
      <w:r>
        <w:rPr>
          <w:rFonts w:cs="Times New Roman" w:ascii="Times New Roman" w:hAnsi="Times New Roman"/>
        </w:rPr>
        <w:t>11.4. Ja saskaņā ar tiesību normatīvajiem aktiem Pusēm var rasties pienākums nodot tālāk trešajām personām no otras puses iegūtos fiziskās personas datus, tas pirms šādu datu nodošanas informē par to otru pusi, ja vien tiesību normatīvie akti to neaizliedz.</w:t>
      </w:r>
    </w:p>
    <w:p>
      <w:pPr>
        <w:pStyle w:val="ListParagraph"/>
        <w:suppressAutoHyphens w:val="true"/>
        <w:spacing w:lineRule="auto" w:line="240"/>
        <w:ind w:left="567" w:hanging="567"/>
        <w:jc w:val="both"/>
        <w:rPr>
          <w:rFonts w:ascii="Times New Roman" w:hAnsi="Times New Roman" w:cs="Times New Roman"/>
          <w:i/>
          <w:i/>
        </w:rPr>
      </w:pPr>
      <w:r>
        <w:rPr>
          <w:rFonts w:cs="Times New Roman" w:ascii="Times New Roman" w:hAnsi="Times New Roman"/>
        </w:rPr>
        <w:t>11.5. Neskatoties uz iepriekš minēto, Izpildītājs piekrīt, ka Pasūtītājs nodod no Izpildītāja saņemtos fizisko personu datus trešajām personām, kas sniedz Pasūtītājam pakalpojumus un ar kurām Pasūtītājs sadarbojas tā darbības un šī Līguma izpildes nodrošināšanai.</w:t>
      </w:r>
    </w:p>
    <w:p>
      <w:pPr>
        <w:pStyle w:val="ListParagraph"/>
        <w:suppressAutoHyphens w:val="true"/>
        <w:spacing w:lineRule="auto" w:line="240"/>
        <w:ind w:left="567" w:hanging="567"/>
        <w:jc w:val="both"/>
        <w:rPr>
          <w:rFonts w:ascii="Times New Roman" w:hAnsi="Times New Roman" w:cs="Times New Roman"/>
          <w:i/>
          <w:i/>
        </w:rPr>
      </w:pPr>
      <w:r>
        <w:rPr>
          <w:rFonts w:cs="Times New Roman" w:ascii="Times New Roman" w:hAnsi="Times New Roman"/>
        </w:rPr>
        <w:t>11.6. Puses apņemas pēc otras Puses pieprasījuma iznīcināt no otras Puses iegūtos fizisko personu datus, ja izbeidzas nepieciešamība tos apstrādāt šī Līguma izpildes nodrošināšanai.</w:t>
      </w:r>
    </w:p>
    <w:p>
      <w:pPr>
        <w:pStyle w:val="Normal"/>
        <w:overflowPunct w:val="false"/>
        <w:spacing w:lineRule="auto" w:line="240"/>
        <w:ind w:left="3828" w:right="-766" w:hanging="3828"/>
        <w:jc w:val="center"/>
        <w:textAlignment w:val="baseline"/>
        <w:rPr>
          <w:b/>
          <w:lang w:eastAsia="lv-LV"/>
        </w:rPr>
      </w:pPr>
      <w:r>
        <w:rPr>
          <w:b/>
          <w:lang w:eastAsia="lv-LV"/>
        </w:rPr>
        <w:t xml:space="preserve">12. CITI NOTEIKUMI </w:t>
      </w:r>
    </w:p>
    <w:p>
      <w:pPr>
        <w:pStyle w:val="Normal"/>
        <w:overflowPunct w:val="false"/>
        <w:spacing w:lineRule="auto" w:line="240"/>
        <w:ind w:left="567" w:right="-17" w:hanging="567"/>
        <w:jc w:val="both"/>
        <w:textAlignment w:val="baseline"/>
        <w:rPr>
          <w:lang w:eastAsia="lv-LV"/>
        </w:rPr>
      </w:pPr>
      <w:r>
        <w:rPr>
          <w:lang w:eastAsia="lv-LV"/>
        </w:rPr>
        <w:t>12.1. Līgums stājas spēkā ar tā parakstīšanas brīdi un ir spēkā līdz saistību pilnīgai izpildei.</w:t>
      </w:r>
    </w:p>
    <w:p>
      <w:pPr>
        <w:pStyle w:val="Normal"/>
        <w:overflowPunct w:val="false"/>
        <w:spacing w:lineRule="auto" w:line="240"/>
        <w:ind w:left="567" w:right="-17" w:hanging="567"/>
        <w:jc w:val="both"/>
        <w:textAlignment w:val="baseline"/>
        <w:rPr>
          <w:lang w:eastAsia="lv-LV"/>
        </w:rPr>
      </w:pPr>
      <w:r>
        <w:rPr>
          <w:lang w:eastAsia="lv-LV"/>
        </w:rPr>
        <w:t>12</w:t>
      </w:r>
      <w:r>
        <w:rPr>
          <w:rFonts w:eastAsia="Calibri"/>
        </w:rPr>
        <w:t>.2. Visai sarakstei un jebkurai informācijai, ko viena Puse iesniedz otrai, jābūt latviešu valodā.</w:t>
      </w:r>
    </w:p>
    <w:p>
      <w:pPr>
        <w:pStyle w:val="Normal"/>
        <w:overflowPunct w:val="false"/>
        <w:spacing w:lineRule="auto" w:line="240"/>
        <w:ind w:left="567" w:right="-17" w:hanging="567"/>
        <w:jc w:val="both"/>
        <w:textAlignment w:val="baseline"/>
        <w:rPr>
          <w:lang w:eastAsia="lv-LV"/>
        </w:rPr>
      </w:pPr>
      <w:r>
        <w:rPr>
          <w:lang w:eastAsia="lv-LV"/>
        </w:rPr>
        <w:t>12</w:t>
      </w:r>
      <w:r>
        <w:rPr>
          <w:rFonts w:eastAsia="Calibri"/>
        </w:rPr>
        <w:t xml:space="preserve">.3. </w:t>
      </w:r>
      <w:r>
        <w:rPr/>
        <w:t>Pusei ir pienākums 5 (piecu) dienu laikā rakstveidā paziņot otrai Pusei par šajā Līgumā norādīto rekvizītu un adrešu maiņu, pretējā gadījumā nepaziņojusī Puse nevar atsaukties uz saistību neizpildi, ko izraisījis nepaziņošanas fakts.</w:t>
      </w:r>
    </w:p>
    <w:p>
      <w:pPr>
        <w:pStyle w:val="Normal"/>
        <w:overflowPunct w:val="false"/>
        <w:spacing w:lineRule="auto" w:line="240"/>
        <w:ind w:left="567" w:right="-17" w:hanging="567"/>
        <w:jc w:val="both"/>
        <w:textAlignment w:val="baseline"/>
        <w:rPr/>
      </w:pPr>
      <w:r>
        <w:rPr>
          <w:lang w:eastAsia="lv-LV"/>
        </w:rPr>
        <w:t>12</w:t>
      </w:r>
      <w:r>
        <w:rPr/>
        <w:t>.4. Puses apliecina, ka ir iepazinušās ar Līguma noteikumiem un atzīst tos par saprotamiem, saistošiem un izpildāmiem. Izpildītājs apliecina, ka tam ir visas nepieciešamās zināšanas, pieredze, darbaspēks un materiāltehniskais nodrošinājums Pakalpojuma sniegšanai.</w:t>
      </w:r>
    </w:p>
    <w:p>
      <w:pPr>
        <w:pStyle w:val="Normal"/>
        <w:widowControl w:val="false"/>
        <w:suppressAutoHyphens w:val="true"/>
        <w:spacing w:lineRule="auto" w:line="240"/>
        <w:ind w:left="567" w:hanging="567"/>
        <w:jc w:val="both"/>
        <w:rPr>
          <w:lang w:eastAsia="lv-LV"/>
        </w:rPr>
      </w:pPr>
      <w:r>
        <w:rPr>
          <w:lang w:eastAsia="lv-LV"/>
        </w:rPr>
        <w:t>14.5. Līguma pielikumi:</w:t>
      </w:r>
    </w:p>
    <w:p>
      <w:pPr>
        <w:pStyle w:val="Normal"/>
        <w:widowControl w:val="false"/>
        <w:suppressAutoHyphens w:val="true"/>
        <w:overflowPunct w:val="false"/>
        <w:spacing w:lineRule="auto" w:line="240"/>
        <w:ind w:left="567" w:hanging="0"/>
        <w:jc w:val="both"/>
        <w:textAlignment w:val="baseline"/>
        <w:rPr/>
      </w:pPr>
      <w:r>
        <w:rPr>
          <w:lang w:eastAsia="lv-LV"/>
        </w:rPr>
        <w:t>1. pielikums - Tehniskā specifikācija.</w:t>
      </w:r>
    </w:p>
    <w:p>
      <w:pPr>
        <w:pStyle w:val="Normal"/>
        <w:widowControl w:val="false"/>
        <w:suppressAutoHyphens w:val="true"/>
        <w:overflowPunct w:val="false"/>
        <w:spacing w:lineRule="auto" w:line="240"/>
        <w:ind w:left="426" w:firstLine="141"/>
        <w:jc w:val="both"/>
        <w:textAlignment w:val="baseline"/>
        <w:rPr/>
      </w:pPr>
      <w:r>
        <w:rPr>
          <w:lang w:eastAsia="lv-LV"/>
        </w:rPr>
        <w:t>2. pielikums – Finanšu piedāvājums.</w:t>
      </w:r>
    </w:p>
    <w:p>
      <w:pPr>
        <w:pStyle w:val="Normal"/>
        <w:widowControl w:val="false"/>
        <w:suppressAutoHyphens w:val="true"/>
        <w:overflowPunct w:val="false"/>
        <w:spacing w:lineRule="auto" w:line="240"/>
        <w:ind w:left="426" w:firstLine="141"/>
        <w:jc w:val="both"/>
        <w:textAlignment w:val="baseline"/>
        <w:rPr/>
      </w:pPr>
      <w:r>
        <w:rPr/>
        <w:t>3. pielikums – Finanšu piedāvājuma pielikums – TĀME;</w:t>
      </w:r>
    </w:p>
    <w:p>
      <w:pPr>
        <w:pStyle w:val="Normal"/>
        <w:widowControl w:val="false"/>
        <w:suppressAutoHyphens w:val="true"/>
        <w:overflowPunct w:val="false"/>
        <w:spacing w:lineRule="auto" w:line="240"/>
        <w:ind w:left="709" w:hanging="142"/>
        <w:jc w:val="both"/>
        <w:textAlignment w:val="baseline"/>
        <w:rPr>
          <w:lang w:eastAsia="lv-LV"/>
        </w:rPr>
      </w:pPr>
      <w:r>
        <w:rPr>
          <w:lang w:eastAsia="lv-LV"/>
        </w:rPr>
      </w:r>
    </w:p>
    <w:p>
      <w:pPr>
        <w:pStyle w:val="Normal"/>
        <w:spacing w:lineRule="auto" w:line="240" w:before="0" w:after="160"/>
        <w:ind w:right="-17" w:hanging="567"/>
        <w:contextualSpacing/>
        <w:jc w:val="both"/>
        <w:rPr>
          <w:lang w:eastAsia="lv-LV"/>
        </w:rPr>
      </w:pPr>
      <w:r>
        <w:rPr>
          <w:lang w:eastAsia="lv-LV"/>
        </w:rPr>
      </w:r>
    </w:p>
    <w:p>
      <w:pPr>
        <w:pStyle w:val="Normal"/>
        <w:spacing w:lineRule="auto" w:line="240" w:before="0" w:after="160"/>
        <w:ind w:left="3828" w:right="-17" w:hanging="3828"/>
        <w:contextualSpacing/>
        <w:jc w:val="center"/>
        <w:rPr>
          <w:b/>
        </w:rPr>
      </w:pPr>
      <w:r>
        <w:rPr>
          <w:b/>
        </w:rPr>
        <w:t>15. PUŠU JURIDISKĀS ADRESE, REKVIZĪTI, PARAKSTI</w:t>
      </w:r>
    </w:p>
    <w:p>
      <w:pPr>
        <w:pStyle w:val="Normal"/>
        <w:tabs>
          <w:tab w:val="clear" w:pos="720"/>
          <w:tab w:val="left" w:pos="0" w:leader="none"/>
        </w:tabs>
        <w:spacing w:lineRule="auto" w:line="240" w:before="0" w:after="160"/>
        <w:ind w:right="-17" w:hanging="0"/>
        <w:contextualSpacing/>
        <w:rPr>
          <w:b/>
        </w:rPr>
      </w:pPr>
      <w:r>
        <w:rPr>
          <w:b/>
        </w:rPr>
      </w:r>
    </w:p>
    <w:p>
      <w:pPr>
        <w:pStyle w:val="Normal"/>
        <w:spacing w:lineRule="auto" w:line="240" w:before="0" w:after="160"/>
        <w:ind w:right="-17" w:hanging="0"/>
        <w:contextualSpacing/>
        <w:jc w:val="both"/>
        <w:rPr>
          <w:b/>
          <w:bCs/>
          <w:lang w:eastAsia="lv-LV"/>
        </w:rPr>
      </w:pPr>
      <w:r>
        <w:rPr>
          <w:b/>
          <w:bCs/>
          <w:lang w:eastAsia="lv-LV"/>
        </w:rPr>
        <w:t>PASŪTĪTĀJS:                                                       IZPILDĪTĀJS:</w:t>
      </w:r>
    </w:p>
    <w:p>
      <w:pPr>
        <w:pStyle w:val="Normal"/>
        <w:tabs>
          <w:tab w:val="clear" w:pos="720"/>
          <w:tab w:val="left" w:pos="0" w:leader="none"/>
        </w:tabs>
        <w:spacing w:lineRule="auto" w:line="240" w:before="0" w:after="160"/>
        <w:ind w:right="-17" w:hanging="0"/>
        <w:contextualSpacing/>
        <w:jc w:val="both"/>
        <w:rPr>
          <w:b/>
          <w:bCs/>
          <w:lang w:eastAsia="lv-LV"/>
        </w:rPr>
      </w:pPr>
      <w:r>
        <w:rPr/>
      </w:r>
    </w:p>
    <w:sectPr>
      <w:footerReference w:type="default" r:id="rId2"/>
      <w:type w:val="nextPage"/>
      <w:pgSz w:w="11906" w:h="16838"/>
      <w:pgMar w:left="1560" w:right="1416" w:gutter="0" w:header="0" w:top="1440" w:footer="708" w:bottom="1276"/>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824929651"/>
    </w:sdtPr>
    <w:sdtContent>
      <w:p>
        <w:pPr>
          <w:pStyle w:val="Footer"/>
          <w:jc w:val="right"/>
          <w:rPr>
            <w:sz w:val="22"/>
            <w:szCs w:val="22"/>
          </w:rPr>
        </w:pPr>
        <w:r>
          <w:rPr>
            <w:sz w:val="22"/>
            <w:szCs w:val="22"/>
          </w:rPr>
          <w:fldChar w:fldCharType="begin"/>
        </w:r>
        <w:r>
          <w:rPr>
            <w:sz w:val="22"/>
            <w:szCs w:val="22"/>
          </w:rPr>
          <w:instrText xml:space="preserve"> PAGE </w:instrText>
        </w:r>
        <w:r>
          <w:rPr>
            <w:sz w:val="22"/>
            <w:szCs w:val="22"/>
          </w:rPr>
          <w:fldChar w:fldCharType="separate"/>
        </w:r>
        <w:r>
          <w:rPr>
            <w:sz w:val="22"/>
            <w:szCs w:val="22"/>
          </w:rPr>
          <w:t>6</w:t>
        </w:r>
        <w:r>
          <w:rPr>
            <w:sz w:val="22"/>
            <w:szCs w:val="22"/>
          </w:rPr>
          <w:fldChar w:fldCharType="end"/>
        </w:r>
      </w:p>
    </w:sdtContent>
  </w:sdt>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360"/>
        </w:tabs>
        <w:ind w:left="360" w:hanging="360"/>
      </w:pPr>
      <w:rPr>
        <w:b/>
      </w:rPr>
    </w:lvl>
    <w:lvl w:ilvl="1">
      <w:start w:val="1"/>
      <w:numFmt w:val="decimal"/>
      <w:lvlText w:val="%1.%2."/>
      <w:lvlJc w:val="left"/>
      <w:pPr>
        <w:tabs>
          <w:tab w:val="num" w:pos="720"/>
        </w:tabs>
        <w:ind w:left="720" w:hanging="360"/>
      </w:pPr>
      <w:rPr>
        <w:sz w:val="24"/>
        <w:b w:val="false"/>
        <w:szCs w:val="24"/>
      </w:rPr>
    </w:lvl>
    <w:lvl w:ilvl="2">
      <w:start w:val="1"/>
      <w:numFmt w:val="decimal"/>
      <w:lvlText w:val="%1.%2.%3."/>
      <w:lvlJc w:val="left"/>
      <w:pPr>
        <w:tabs>
          <w:tab w:val="num" w:pos="1440"/>
        </w:tabs>
        <w:ind w:left="1440" w:hanging="720"/>
      </w:pPr>
      <w:rPr>
        <w:sz w:val="24"/>
        <w:b w:val="false"/>
        <w:szCs w:val="24"/>
      </w:rPr>
    </w:lvl>
    <w:lvl w:ilvl="3">
      <w:start w:val="1"/>
      <w:numFmt w:val="decimal"/>
      <w:lvlText w:val="%1.%2.%3.%4."/>
      <w:lvlJc w:val="left"/>
      <w:pPr>
        <w:tabs>
          <w:tab w:val="num" w:pos="1800"/>
        </w:tabs>
        <w:ind w:left="1800" w:hanging="720"/>
      </w:pPr>
      <w:rPr/>
    </w:lvl>
    <w:lvl w:ilvl="4">
      <w:start w:val="1"/>
      <w:numFmt w:val="decimal"/>
      <w:lvlText w:val="%1.%2.%3.%4.%5."/>
      <w:lvlJc w:val="left"/>
      <w:pPr>
        <w:tabs>
          <w:tab w:val="num" w:pos="2520"/>
        </w:tabs>
        <w:ind w:left="2520" w:hanging="1080"/>
      </w:pPr>
      <w:rPr/>
    </w:lvl>
    <w:lvl w:ilvl="5">
      <w:start w:val="1"/>
      <w:numFmt w:val="decimal"/>
      <w:lvlText w:val="%1.%2.%3.%4.%5.%6."/>
      <w:lvlJc w:val="left"/>
      <w:pPr>
        <w:tabs>
          <w:tab w:val="num" w:pos="2880"/>
        </w:tabs>
        <w:ind w:left="2880" w:hanging="1080"/>
      </w:pPr>
      <w:rPr/>
    </w:lvl>
    <w:lvl w:ilvl="6">
      <w:start w:val="1"/>
      <w:numFmt w:val="decimal"/>
      <w:lvlText w:val="%1.%2.%3.%4.%5.%6.%7."/>
      <w:lvlJc w:val="left"/>
      <w:pPr>
        <w:tabs>
          <w:tab w:val="num" w:pos="3600"/>
        </w:tabs>
        <w:ind w:left="3600" w:hanging="1440"/>
      </w:pPr>
      <w:rPr/>
    </w:lvl>
    <w:lvl w:ilvl="7">
      <w:start w:val="1"/>
      <w:numFmt w:val="decimal"/>
      <w:lvlText w:val="%1.%2.%3.%4.%5.%6.%7.%8."/>
      <w:lvlJc w:val="left"/>
      <w:pPr>
        <w:tabs>
          <w:tab w:val="num" w:pos="3960"/>
        </w:tabs>
        <w:ind w:left="3960" w:hanging="1440"/>
      </w:pPr>
      <w:rPr/>
    </w:lvl>
    <w:lvl w:ilvl="8">
      <w:start w:val="1"/>
      <w:numFmt w:val="decimal"/>
      <w:lvlText w:val="%1.%2.%3.%4.%5.%6.%7.%8.%9."/>
      <w:lvlJc w:val="left"/>
      <w:pPr>
        <w:tabs>
          <w:tab w:val="num" w:pos="4680"/>
        </w:tabs>
        <w:ind w:left="4680" w:hanging="1800"/>
      </w:pPr>
      <w:rPr/>
    </w:lvl>
  </w:abstractNum>
  <w:abstractNum w:abstractNumId="2">
    <w:lvl w:ilvl="0">
      <w:start w:val="1"/>
      <w:numFmt w:val="decimal"/>
      <w:lvlText w:val="%1."/>
      <w:lvlJc w:val="left"/>
      <w:pPr>
        <w:tabs>
          <w:tab w:val="num" w:pos="360"/>
        </w:tabs>
        <w:ind w:left="360" w:hanging="360"/>
      </w:pPr>
      <w:rPr>
        <w:b/>
      </w:rPr>
    </w:lvl>
    <w:lvl w:ilvl="1">
      <w:start w:val="1"/>
      <w:numFmt w:val="decimal"/>
      <w:lvlText w:val="%1.%2."/>
      <w:lvlJc w:val="left"/>
      <w:pPr>
        <w:tabs>
          <w:tab w:val="num" w:pos="720"/>
        </w:tabs>
        <w:ind w:left="720" w:hanging="360"/>
      </w:pPr>
      <w:rPr>
        <w:sz w:val="24"/>
        <w:b w:val="false"/>
        <w:szCs w:val="24"/>
      </w:rPr>
    </w:lvl>
    <w:lvl w:ilvl="2">
      <w:start w:val="1"/>
      <w:numFmt w:val="decimal"/>
      <w:lvlText w:val="%1.%2.%3."/>
      <w:lvlJc w:val="left"/>
      <w:pPr>
        <w:tabs>
          <w:tab w:val="num" w:pos="1440"/>
        </w:tabs>
        <w:ind w:left="1440" w:hanging="720"/>
      </w:pPr>
      <w:rPr>
        <w:sz w:val="24"/>
        <w:b w:val="false"/>
        <w:szCs w:val="24"/>
      </w:rPr>
    </w:lvl>
    <w:lvl w:ilvl="3">
      <w:start w:val="1"/>
      <w:numFmt w:val="decimal"/>
      <w:lvlText w:val="%1.%2.%3.%4."/>
      <w:lvlJc w:val="left"/>
      <w:pPr>
        <w:tabs>
          <w:tab w:val="num" w:pos="1800"/>
        </w:tabs>
        <w:ind w:left="1800" w:hanging="720"/>
      </w:pPr>
      <w:rPr/>
    </w:lvl>
    <w:lvl w:ilvl="4">
      <w:start w:val="1"/>
      <w:numFmt w:val="decimal"/>
      <w:lvlText w:val="%1.%2.%3.%4.%5."/>
      <w:lvlJc w:val="left"/>
      <w:pPr>
        <w:tabs>
          <w:tab w:val="num" w:pos="2520"/>
        </w:tabs>
        <w:ind w:left="2520" w:hanging="1080"/>
      </w:pPr>
      <w:rPr/>
    </w:lvl>
    <w:lvl w:ilvl="5">
      <w:start w:val="1"/>
      <w:numFmt w:val="decimal"/>
      <w:lvlText w:val="%1.%2.%3.%4.%5.%6."/>
      <w:lvlJc w:val="left"/>
      <w:pPr>
        <w:tabs>
          <w:tab w:val="num" w:pos="2880"/>
        </w:tabs>
        <w:ind w:left="2880" w:hanging="1080"/>
      </w:pPr>
      <w:rPr/>
    </w:lvl>
    <w:lvl w:ilvl="6">
      <w:start w:val="1"/>
      <w:numFmt w:val="decimal"/>
      <w:lvlText w:val="%1.%2.%3.%4.%5.%6.%7."/>
      <w:lvlJc w:val="left"/>
      <w:pPr>
        <w:tabs>
          <w:tab w:val="num" w:pos="3600"/>
        </w:tabs>
        <w:ind w:left="3600" w:hanging="1440"/>
      </w:pPr>
      <w:rPr/>
    </w:lvl>
    <w:lvl w:ilvl="7">
      <w:start w:val="1"/>
      <w:numFmt w:val="decimal"/>
      <w:lvlText w:val="%1.%2.%3.%4.%5.%6.%7.%8."/>
      <w:lvlJc w:val="left"/>
      <w:pPr>
        <w:tabs>
          <w:tab w:val="num" w:pos="3960"/>
        </w:tabs>
        <w:ind w:left="3960" w:hanging="1440"/>
      </w:pPr>
      <w:rPr/>
    </w:lvl>
    <w:lvl w:ilvl="8">
      <w:start w:val="1"/>
      <w:numFmt w:val="decimal"/>
      <w:lvlText w:val="%1.%2.%3.%4.%5.%6.%7.%8.%9."/>
      <w:lvlJc w:val="left"/>
      <w:pPr>
        <w:tabs>
          <w:tab w:val="num" w:pos="4680"/>
        </w:tabs>
        <w:ind w:left="4680" w:hanging="1800"/>
      </w:pPr>
      <w:rPr/>
    </w:lvl>
  </w:abstractNum>
  <w:abstractNum w:abstractNumId="3">
    <w:lvl w:ilvl="0">
      <w:start w:val="1"/>
      <w:numFmt w:val="decimal"/>
      <w:lvlText w:val="%1."/>
      <w:lvlJc w:val="left"/>
      <w:pPr>
        <w:tabs>
          <w:tab w:val="num" w:pos="360"/>
        </w:tabs>
        <w:ind w:left="360" w:hanging="360"/>
      </w:pPr>
      <w:rPr>
        <w:b/>
      </w:rPr>
    </w:lvl>
    <w:lvl w:ilvl="1">
      <w:start w:val="1"/>
      <w:numFmt w:val="decimal"/>
      <w:lvlText w:val="%1.%2."/>
      <w:lvlJc w:val="left"/>
      <w:pPr>
        <w:tabs>
          <w:tab w:val="num" w:pos="720"/>
        </w:tabs>
        <w:ind w:left="720" w:hanging="360"/>
      </w:pPr>
      <w:rPr>
        <w:sz w:val="24"/>
        <w:b w:val="false"/>
        <w:szCs w:val="24"/>
      </w:rPr>
    </w:lvl>
    <w:lvl w:ilvl="2">
      <w:start w:val="1"/>
      <w:numFmt w:val="decimal"/>
      <w:lvlText w:val="%1.%2.%3."/>
      <w:lvlJc w:val="left"/>
      <w:pPr>
        <w:tabs>
          <w:tab w:val="num" w:pos="1440"/>
        </w:tabs>
        <w:ind w:left="1440" w:hanging="720"/>
      </w:pPr>
      <w:rPr>
        <w:sz w:val="24"/>
        <w:b w:val="false"/>
        <w:szCs w:val="24"/>
      </w:rPr>
    </w:lvl>
    <w:lvl w:ilvl="3">
      <w:start w:val="1"/>
      <w:numFmt w:val="decimal"/>
      <w:lvlText w:val="%1.%2.%3.%4."/>
      <w:lvlJc w:val="left"/>
      <w:pPr>
        <w:tabs>
          <w:tab w:val="num" w:pos="1800"/>
        </w:tabs>
        <w:ind w:left="1800" w:hanging="720"/>
      </w:pPr>
      <w:rPr/>
    </w:lvl>
    <w:lvl w:ilvl="4">
      <w:start w:val="1"/>
      <w:numFmt w:val="decimal"/>
      <w:lvlText w:val="%1.%2.%3.%4.%5."/>
      <w:lvlJc w:val="left"/>
      <w:pPr>
        <w:tabs>
          <w:tab w:val="num" w:pos="2520"/>
        </w:tabs>
        <w:ind w:left="2520" w:hanging="1080"/>
      </w:pPr>
      <w:rPr/>
    </w:lvl>
    <w:lvl w:ilvl="5">
      <w:start w:val="1"/>
      <w:numFmt w:val="decimal"/>
      <w:lvlText w:val="%1.%2.%3.%4.%5.%6."/>
      <w:lvlJc w:val="left"/>
      <w:pPr>
        <w:tabs>
          <w:tab w:val="num" w:pos="2880"/>
        </w:tabs>
        <w:ind w:left="2880" w:hanging="1080"/>
      </w:pPr>
      <w:rPr/>
    </w:lvl>
    <w:lvl w:ilvl="6">
      <w:start w:val="1"/>
      <w:numFmt w:val="decimal"/>
      <w:lvlText w:val="%1.%2.%3.%4.%5.%6.%7."/>
      <w:lvlJc w:val="left"/>
      <w:pPr>
        <w:tabs>
          <w:tab w:val="num" w:pos="3600"/>
        </w:tabs>
        <w:ind w:left="3600" w:hanging="1440"/>
      </w:pPr>
      <w:rPr/>
    </w:lvl>
    <w:lvl w:ilvl="7">
      <w:start w:val="1"/>
      <w:numFmt w:val="decimal"/>
      <w:lvlText w:val="%1.%2.%3.%4.%5.%6.%7.%8."/>
      <w:lvlJc w:val="left"/>
      <w:pPr>
        <w:tabs>
          <w:tab w:val="num" w:pos="3960"/>
        </w:tabs>
        <w:ind w:left="3960" w:hanging="1440"/>
      </w:pPr>
      <w:rPr/>
    </w:lvl>
    <w:lvl w:ilvl="8">
      <w:start w:val="1"/>
      <w:numFmt w:val="decimal"/>
      <w:lvlText w:val="%1.%2.%3.%4.%5.%6.%7.%8.%9."/>
      <w:lvlJc w:val="left"/>
      <w:pPr>
        <w:tabs>
          <w:tab w:val="num" w:pos="4680"/>
        </w:tabs>
        <w:ind w:left="4680" w:hanging="1800"/>
      </w:pPr>
      <w:rPr/>
    </w:lvl>
  </w:abstractNum>
  <w:abstractNum w:abstractNumId="4">
    <w:lvl w:ilvl="0">
      <w:start w:val="8"/>
      <w:numFmt w:val="decimal"/>
      <w:lvlText w:val="%1."/>
      <w:lvlJc w:val="left"/>
      <w:pPr>
        <w:tabs>
          <w:tab w:val="num" w:pos="0"/>
        </w:tabs>
        <w:ind w:left="540" w:hanging="540"/>
      </w:pPr>
      <w:rPr>
        <w:b/>
      </w:rPr>
    </w:lvl>
    <w:lvl w:ilvl="1">
      <w:start w:val="3"/>
      <w:numFmt w:val="decimal"/>
      <w:lvlText w:val="%1.%2."/>
      <w:lvlJc w:val="left"/>
      <w:pPr>
        <w:tabs>
          <w:tab w:val="num" w:pos="0"/>
        </w:tabs>
        <w:ind w:left="900" w:hanging="540"/>
      </w:pPr>
      <w:rPr/>
    </w:lvl>
    <w:lvl w:ilvl="2">
      <w:start w:val="1"/>
      <w:numFmt w:val="decimal"/>
      <w:lvlText w:val="%1.%2.%3."/>
      <w:lvlJc w:val="left"/>
      <w:pPr>
        <w:tabs>
          <w:tab w:val="num" w:pos="0"/>
        </w:tabs>
        <w:ind w:left="1430"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680" w:hanging="1800"/>
      </w:pPr>
      <w:rPr/>
    </w:lvl>
  </w:abstractNum>
  <w:abstractNum w:abstractNumId="5">
    <w:lvl w:ilvl="0">
      <w:start w:val="8"/>
      <w:numFmt w:val="decimal"/>
      <w:lvlText w:val="%1."/>
      <w:lvlJc w:val="left"/>
      <w:pPr>
        <w:tabs>
          <w:tab w:val="num" w:pos="0"/>
        </w:tabs>
        <w:ind w:left="540" w:hanging="540"/>
      </w:pPr>
      <w:rPr>
        <w:b/>
      </w:rPr>
    </w:lvl>
    <w:lvl w:ilvl="1">
      <w:start w:val="3"/>
      <w:numFmt w:val="decimal"/>
      <w:lvlText w:val="%1.%2."/>
      <w:lvlJc w:val="left"/>
      <w:pPr>
        <w:tabs>
          <w:tab w:val="num" w:pos="0"/>
        </w:tabs>
        <w:ind w:left="900" w:hanging="540"/>
      </w:pPr>
      <w:rPr/>
    </w:lvl>
    <w:lvl w:ilvl="2">
      <w:start w:val="1"/>
      <w:numFmt w:val="decimal"/>
      <w:lvlText w:val="%1.%2.%3."/>
      <w:lvlJc w:val="left"/>
      <w:pPr>
        <w:tabs>
          <w:tab w:val="num" w:pos="0"/>
        </w:tabs>
        <w:ind w:left="1430"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680" w:hanging="1800"/>
      </w:pPr>
      <w:rPr/>
    </w:lvl>
  </w:abstractNum>
  <w:abstractNum w:abstractNumId="6">
    <w:lvl w:ilvl="0">
      <w:start w:val="8"/>
      <w:numFmt w:val="decimal"/>
      <w:lvlText w:val="%1."/>
      <w:lvlJc w:val="left"/>
      <w:pPr>
        <w:tabs>
          <w:tab w:val="num" w:pos="0"/>
        </w:tabs>
        <w:ind w:left="540" w:hanging="540"/>
      </w:pPr>
      <w:rPr>
        <w:b/>
      </w:rPr>
    </w:lvl>
    <w:lvl w:ilvl="1">
      <w:start w:val="3"/>
      <w:numFmt w:val="decimal"/>
      <w:lvlText w:val="%1.%2."/>
      <w:lvlJc w:val="left"/>
      <w:pPr>
        <w:tabs>
          <w:tab w:val="num" w:pos="0"/>
        </w:tabs>
        <w:ind w:left="900" w:hanging="540"/>
      </w:pPr>
      <w:rPr/>
    </w:lvl>
    <w:lvl w:ilvl="2">
      <w:start w:val="1"/>
      <w:numFmt w:val="decimal"/>
      <w:lvlText w:val="%1.%2.%3."/>
      <w:lvlJc w:val="left"/>
      <w:pPr>
        <w:tabs>
          <w:tab w:val="num" w:pos="0"/>
        </w:tabs>
        <w:ind w:left="1430"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680" w:hanging="1800"/>
      </w:pPr>
      <w:rPr/>
    </w:lvl>
  </w:abstractNum>
  <w:abstractNum w:abstractNumId="7">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8">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9">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10">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11">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12">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13">
    <w:lvl w:ilvl="0">
      <w:start w:val="9"/>
      <w:numFmt w:val="decimal"/>
      <w:lvlText w:val="%1."/>
      <w:lvlJc w:val="left"/>
      <w:pPr>
        <w:tabs>
          <w:tab w:val="num" w:pos="0"/>
        </w:tabs>
        <w:ind w:left="360" w:hanging="360"/>
      </w:pPr>
      <w:rPr/>
    </w:lvl>
    <w:lvl w:ilvl="1">
      <w:start w:val="1"/>
      <w:numFmt w:val="decimal"/>
      <w:lvlText w:val="%1.%2."/>
      <w:lvlJc w:val="left"/>
      <w:pPr>
        <w:tabs>
          <w:tab w:val="num" w:pos="0"/>
        </w:tabs>
        <w:ind w:left="720" w:hanging="360"/>
      </w:pPr>
      <w:rPr/>
    </w:lvl>
    <w:lvl w:ilvl="2">
      <w:start w:val="1"/>
      <w:numFmt w:val="decimal"/>
      <w:lvlText w:val="%1.%2.%3."/>
      <w:lvlJc w:val="left"/>
      <w:pPr>
        <w:tabs>
          <w:tab w:val="num" w:pos="0"/>
        </w:tabs>
        <w:ind w:left="1146" w:hanging="720"/>
      </w:pPr>
      <w:rPr/>
    </w:lvl>
    <w:lvl w:ilvl="3">
      <w:start w:val="1"/>
      <w:numFmt w:val="decimal"/>
      <w:lvlText w:val="%1.%2.%3.%4."/>
      <w:lvlJc w:val="left"/>
      <w:pPr>
        <w:tabs>
          <w:tab w:val="num" w:pos="0"/>
        </w:tabs>
        <w:ind w:left="1800" w:hanging="720"/>
      </w:pPr>
      <w:rPr/>
    </w:lvl>
    <w:lvl w:ilvl="4">
      <w:start w:val="1"/>
      <w:numFmt w:val="decimal"/>
      <w:lvlText w:val="%1.%2.%3.%4.%5."/>
      <w:lvlJc w:val="left"/>
      <w:pPr>
        <w:tabs>
          <w:tab w:val="num" w:pos="0"/>
        </w:tabs>
        <w:ind w:left="2520" w:hanging="1080"/>
      </w:pPr>
      <w:rPr/>
    </w:lvl>
    <w:lvl w:ilvl="5">
      <w:start w:val="1"/>
      <w:numFmt w:val="decimal"/>
      <w:lvlText w:val="%1.%2.%3.%4.%5.%6."/>
      <w:lvlJc w:val="left"/>
      <w:pPr>
        <w:tabs>
          <w:tab w:val="num" w:pos="0"/>
        </w:tabs>
        <w:ind w:left="2880" w:hanging="1080"/>
      </w:pPr>
      <w:rPr/>
    </w:lvl>
    <w:lvl w:ilvl="6">
      <w:start w:val="1"/>
      <w:numFmt w:val="decimal"/>
      <w:lvlText w:val="%1.%2.%3.%4.%5.%6.%7."/>
      <w:lvlJc w:val="left"/>
      <w:pPr>
        <w:tabs>
          <w:tab w:val="num" w:pos="0"/>
        </w:tabs>
        <w:ind w:left="3600" w:hanging="1440"/>
      </w:pPr>
      <w:rPr/>
    </w:lvl>
    <w:lvl w:ilvl="7">
      <w:start w:val="1"/>
      <w:numFmt w:val="decimal"/>
      <w:lvlText w:val="%1.%2.%3.%4.%5.%6.%7.%8."/>
      <w:lvlJc w:val="left"/>
      <w:pPr>
        <w:tabs>
          <w:tab w:val="num" w:pos="0"/>
        </w:tabs>
        <w:ind w:left="3960" w:hanging="1440"/>
      </w:pPr>
      <w:rPr/>
    </w:lvl>
    <w:lvl w:ilvl="8">
      <w:start w:val="1"/>
      <w:numFmt w:val="decimal"/>
      <w:lvlText w:val="%1.%2.%3.%4.%5.%6.%7.%8.%9."/>
      <w:lvlJc w:val="left"/>
      <w:pPr>
        <w:tabs>
          <w:tab w:val="num" w:pos="0"/>
        </w:tabs>
        <w:ind w:left="4320" w:hanging="1440"/>
      </w:pPr>
      <w:rPr/>
    </w:lvl>
  </w:abstractNum>
  <w:abstractNum w:abstractNumId="1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
    <w:lvlOverride w:ilvl="0">
      <w:startOverride w:val="1"/>
    </w:lvlOverride>
  </w:num>
  <w:num w:numId="16">
    <w:abstractNumId w:val="1"/>
  </w:num>
  <w:num w:numId="17">
    <w:abstractNumId w:val="1"/>
  </w:num>
  <w:num w:numId="18">
    <w:abstractNumId w:val="4"/>
    <w:lvlOverride w:ilvl="0">
      <w:startOverride w:val="8"/>
    </w:lvlOverride>
    <w:lvlOverride w:ilvl="1">
      <w:startOverride w:val="3"/>
    </w:lvlOverride>
    <w:lvlOverride w:ilvl="2">
      <w:startOverride w:val="1"/>
    </w:lvlOverride>
  </w:num>
  <w:num w:numId="19">
    <w:abstractNumId w:val="4"/>
  </w:num>
  <w:num w:numId="20">
    <w:abstractNumId w:val="4"/>
  </w:num>
  <w:num w:numId="21">
    <w:abstractNumId w:val="7"/>
    <w:lvlOverride w:ilvl="0">
      <w:startOverride w:val="9"/>
    </w:lvlOverride>
    <w:lvlOverride w:ilvl="1">
      <w:startOverride w:val="1"/>
    </w:lvlOverride>
  </w:num>
  <w:num w:numId="22">
    <w:abstractNumId w:val="7"/>
  </w:num>
  <w:num w:numId="23">
    <w:abstractNumId w:val="7"/>
  </w:num>
  <w:num w:numId="24">
    <w:abstractNumId w:val="7"/>
  </w:num>
  <w:num w:numId="25">
    <w:abstractNumId w:val="7"/>
  </w:num>
  <w:num w:numId="26">
    <w:abstractNumId w:val="7"/>
  </w:num>
  <w:num w:numId="27">
    <w:abstractNumId w:val="7"/>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lv-LV"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lv-LV"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47336"/>
    <w:pPr>
      <w:widowControl/>
      <w:suppressAutoHyphens w:val="true"/>
      <w:bidi w:val="0"/>
      <w:spacing w:lineRule="auto" w:line="276" w:before="0" w:after="0"/>
      <w:jc w:val="left"/>
    </w:pPr>
    <w:rPr>
      <w:rFonts w:ascii="Times New Roman" w:hAnsi="Times New Roman" w:eastAsia="Times New Roman" w:cs="Times New Roman"/>
      <w:color w:val="auto"/>
      <w:kern w:val="0"/>
      <w:sz w:val="24"/>
      <w:szCs w:val="24"/>
      <w:lang w:val="lv-LV" w:eastAsia="en-US" w:bidi="ar-SA"/>
    </w:rPr>
  </w:style>
  <w:style w:type="character" w:styleId="DefaultParagraphFont" w:default="1">
    <w:name w:val="Default Paragraph Font"/>
    <w:uiPriority w:val="1"/>
    <w:semiHidden/>
    <w:unhideWhenUsed/>
    <w:qFormat/>
    <w:rPr/>
  </w:style>
  <w:style w:type="character" w:styleId="ListParagraphChar" w:customStyle="1">
    <w:name w:val="List Paragraph Char"/>
    <w:link w:val="ListParagraph"/>
    <w:uiPriority w:val="34"/>
    <w:qFormat/>
    <w:locked/>
    <w:rsid w:val="00a47336"/>
    <w:rPr>
      <w:sz w:val="24"/>
      <w:szCs w:val="24"/>
    </w:rPr>
  </w:style>
  <w:style w:type="character" w:styleId="BalloonTextChar" w:customStyle="1">
    <w:name w:val="Balloon Text Char"/>
    <w:basedOn w:val="DefaultParagraphFont"/>
    <w:link w:val="BalloonText"/>
    <w:uiPriority w:val="99"/>
    <w:semiHidden/>
    <w:qFormat/>
    <w:rsid w:val="00c8218c"/>
    <w:rPr>
      <w:rFonts w:ascii="Tahoma" w:hAnsi="Tahoma" w:eastAsia="Times New Roman" w:cs="Tahoma"/>
      <w:sz w:val="16"/>
      <w:szCs w:val="16"/>
    </w:rPr>
  </w:style>
  <w:style w:type="character" w:styleId="Annotationreference">
    <w:name w:val="annotation reference"/>
    <w:basedOn w:val="DefaultParagraphFont"/>
    <w:uiPriority w:val="99"/>
    <w:semiHidden/>
    <w:unhideWhenUsed/>
    <w:qFormat/>
    <w:rsid w:val="00f244d3"/>
    <w:rPr>
      <w:sz w:val="16"/>
      <w:szCs w:val="16"/>
    </w:rPr>
  </w:style>
  <w:style w:type="character" w:styleId="CommentTextChar" w:customStyle="1">
    <w:name w:val="Comment Text Char"/>
    <w:basedOn w:val="DefaultParagraphFont"/>
    <w:uiPriority w:val="99"/>
    <w:semiHidden/>
    <w:qFormat/>
    <w:rsid w:val="00f244d3"/>
    <w:rPr>
      <w:rFonts w:ascii="Times New Roman" w:hAnsi="Times New Roman" w:eastAsia="Times New Roman" w:cs="Times New Roman"/>
      <w:sz w:val="20"/>
      <w:szCs w:val="20"/>
    </w:rPr>
  </w:style>
  <w:style w:type="character" w:styleId="CommentSubjectChar" w:customStyle="1">
    <w:name w:val="Comment Subject Char"/>
    <w:basedOn w:val="CommentTextChar"/>
    <w:uiPriority w:val="99"/>
    <w:semiHidden/>
    <w:qFormat/>
    <w:rsid w:val="00f244d3"/>
    <w:rPr>
      <w:rFonts w:ascii="Times New Roman" w:hAnsi="Times New Roman" w:eastAsia="Times New Roman" w:cs="Times New Roman"/>
      <w:b/>
      <w:bCs/>
      <w:sz w:val="20"/>
      <w:szCs w:val="20"/>
    </w:rPr>
  </w:style>
  <w:style w:type="character" w:styleId="HeaderChar" w:customStyle="1">
    <w:name w:val="Header Char"/>
    <w:basedOn w:val="DefaultParagraphFont"/>
    <w:link w:val="Header"/>
    <w:uiPriority w:val="99"/>
    <w:qFormat/>
    <w:rsid w:val="003f7d5e"/>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3f7d5e"/>
    <w:rPr>
      <w:rFonts w:ascii="Times New Roman" w:hAnsi="Times New Roman"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 w:type="paragraph" w:styleId="ListParagraph">
    <w:name w:val="List Paragraph"/>
    <w:basedOn w:val="Normal"/>
    <w:link w:val="ListParagraphChar"/>
    <w:uiPriority w:val="34"/>
    <w:qFormat/>
    <w:rsid w:val="00a47336"/>
    <w:pPr>
      <w:spacing w:before="0" w:after="0"/>
      <w:ind w:left="720" w:hanging="0"/>
      <w:contextualSpacing/>
    </w:pPr>
    <w:rPr>
      <w:rFonts w:ascii="Calibri" w:hAnsi="Calibri" w:eastAsia="Calibri" w:cs="" w:asciiTheme="minorHAnsi" w:cstheme="minorBidi" w:eastAsiaTheme="minorHAnsi" w:hAnsiTheme="minorHAnsi"/>
    </w:rPr>
  </w:style>
  <w:style w:type="paragraph" w:styleId="BalloonText">
    <w:name w:val="Balloon Text"/>
    <w:basedOn w:val="Normal"/>
    <w:link w:val="BalloonTextChar"/>
    <w:uiPriority w:val="99"/>
    <w:semiHidden/>
    <w:unhideWhenUsed/>
    <w:qFormat/>
    <w:rsid w:val="00c8218c"/>
    <w:pPr>
      <w:spacing w:lineRule="auto" w:line="240"/>
    </w:pPr>
    <w:rPr>
      <w:rFonts w:ascii="Tahoma" w:hAnsi="Tahoma" w:cs="Tahoma"/>
      <w:sz w:val="16"/>
      <w:szCs w:val="16"/>
    </w:rPr>
  </w:style>
  <w:style w:type="paragraph" w:styleId="Annotationtext">
    <w:name w:val="annotation text"/>
    <w:basedOn w:val="Normal"/>
    <w:link w:val="CommentTextChar"/>
    <w:uiPriority w:val="99"/>
    <w:semiHidden/>
    <w:unhideWhenUsed/>
    <w:qFormat/>
    <w:rsid w:val="00f244d3"/>
    <w:pPr>
      <w:spacing w:lineRule="auto" w:line="240"/>
    </w:pPr>
    <w:rPr>
      <w:sz w:val="20"/>
      <w:szCs w:val="20"/>
    </w:rPr>
  </w:style>
  <w:style w:type="paragraph" w:styleId="Annotationsubject">
    <w:name w:val="annotation subject"/>
    <w:basedOn w:val="Annotationtext"/>
    <w:next w:val="Annotationtext"/>
    <w:link w:val="CommentSubjectChar"/>
    <w:uiPriority w:val="99"/>
    <w:semiHidden/>
    <w:unhideWhenUsed/>
    <w:qFormat/>
    <w:rsid w:val="00f244d3"/>
    <w:pPr/>
    <w:rPr>
      <w:b/>
      <w:bCs/>
    </w:rPr>
  </w:style>
  <w:style w:type="paragraph" w:styleId="HeaderandFooter">
    <w:name w:val="Header and Footer"/>
    <w:basedOn w:val="Normal"/>
    <w:qFormat/>
    <w:pPr/>
    <w:rPr/>
  </w:style>
  <w:style w:type="paragraph" w:styleId="Header">
    <w:name w:val="Header"/>
    <w:basedOn w:val="Normal"/>
    <w:link w:val="HeaderChar"/>
    <w:uiPriority w:val="99"/>
    <w:unhideWhenUsed/>
    <w:rsid w:val="003f7d5e"/>
    <w:pPr>
      <w:tabs>
        <w:tab w:val="clear" w:pos="720"/>
        <w:tab w:val="center" w:pos="4153" w:leader="none"/>
        <w:tab w:val="right" w:pos="8306" w:leader="none"/>
      </w:tabs>
      <w:spacing w:lineRule="auto" w:line="240"/>
    </w:pPr>
    <w:rPr/>
  </w:style>
  <w:style w:type="paragraph" w:styleId="Footer">
    <w:name w:val="Footer"/>
    <w:basedOn w:val="Normal"/>
    <w:link w:val="FooterChar"/>
    <w:uiPriority w:val="99"/>
    <w:unhideWhenUsed/>
    <w:rsid w:val="003f7d5e"/>
    <w:pPr>
      <w:tabs>
        <w:tab w:val="clear" w:pos="720"/>
        <w:tab w:val="center" w:pos="4153" w:leader="none"/>
        <w:tab w:val="right" w:pos="8306" w:leader="none"/>
      </w:tabs>
      <w:spacing w:lineRule="auto" w:line="240"/>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A39DF5-3FC7-4DDF-BE1C-6F753A49F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200</TotalTime>
  <Application>LibreOffice/7.5.3.2$Windows_X86_64 LibreOffice_project/9f56dff12ba03b9acd7730a5a481eea045e468f3</Application>
  <AppVersion>15.0000</AppVersion>
  <Pages>6</Pages>
  <Words>2163</Words>
  <Characters>14899</Characters>
  <CharactersWithSpaces>17128</CharactersWithSpaces>
  <Paragraphs>104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2021-06-29T13:15:00Z</dcterms:created>
  <dc:creator>Vaira Jurēvica</dc:creator>
  <dc:description/>
  <dc:language>lv-LV</dc:language>
  <cp:lastModifiedBy/>
  <dcterms:modified xsi:type="dcterms:W3CDTF">2023-05-22T13:57:29Z</dcterms:modified>
  <cp:revision>14</cp:revision>
  <dc:subject/>
  <dc:title/>
</cp:coreProperties>
</file>

<file path=docProps/custom.xml><?xml version="1.0" encoding="utf-8"?>
<Properties xmlns="http://schemas.openxmlformats.org/officeDocument/2006/custom-properties" xmlns:vt="http://schemas.openxmlformats.org/officeDocument/2006/docPropsVTypes"/>
</file>