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ind w:left="567" w:right="141" w:hanging="0"/>
        <w:jc w:val="right"/>
        <w:rPr>
          <w:sz w:val="22"/>
          <w:szCs w:val="22"/>
        </w:rPr>
      </w:pPr>
      <w:bookmarkStart w:id="0" w:name="_GoBack"/>
      <w:bookmarkEnd w:id="0"/>
      <w:r>
        <w:rPr>
          <w:sz w:val="22"/>
          <w:szCs w:val="22"/>
        </w:rPr>
        <w:t xml:space="preserve">Identifikācijas Nr. </w:t>
      </w:r>
      <w:r>
        <w:rPr>
          <w:rFonts w:eastAsia="Times New Roman" w:cs="Times New Roman"/>
          <w:sz w:val="22"/>
          <w:szCs w:val="22"/>
        </w:rPr>
        <w:t>DE 2023/8</w:t>
      </w:r>
    </w:p>
    <w:p>
      <w:pPr>
        <w:pStyle w:val="Normal"/>
        <w:spacing w:lineRule="auto" w:line="240"/>
        <w:ind w:right="141" w:hanging="0"/>
        <w:jc w:val="right"/>
        <w:rPr>
          <w:b/>
          <w:sz w:val="22"/>
          <w:szCs w:val="22"/>
        </w:rPr>
      </w:pPr>
      <w:r>
        <w:rPr>
          <w:sz w:val="22"/>
          <w:szCs w:val="22"/>
        </w:rPr>
        <w:t>Nolikuma</w:t>
      </w:r>
      <w:r>
        <w:rPr>
          <w:b/>
          <w:sz w:val="22"/>
          <w:szCs w:val="22"/>
        </w:rPr>
        <w:t xml:space="preserve"> 3. pielikums</w:t>
      </w:r>
    </w:p>
    <w:p>
      <w:pPr>
        <w:pStyle w:val="Normal"/>
        <w:jc w:val="right"/>
        <w:rPr>
          <w:sz w:val="22"/>
          <w:szCs w:val="22"/>
        </w:rPr>
      </w:pPr>
      <w:r>
        <w:rPr>
          <w:sz w:val="22"/>
          <w:szCs w:val="22"/>
        </w:rPr>
      </w:r>
    </w:p>
    <w:p>
      <w:pPr>
        <w:pStyle w:val="Normal"/>
        <w:ind w:left="-709" w:right="-766" w:hanging="0"/>
        <w:jc w:val="center"/>
        <w:rPr>
          <w:b/>
          <w:i/>
          <w:i/>
        </w:rPr>
      </w:pPr>
      <w:r>
        <w:rPr>
          <w:b/>
        </w:rPr>
        <w:t>FINANŠU PIEDĀVĀJUMS</w:t>
      </w:r>
    </w:p>
    <w:p>
      <w:pPr>
        <w:pStyle w:val="Normal"/>
        <w:widowControl w:val="false"/>
        <w:spacing w:lineRule="auto" w:line="240" w:before="0" w:after="0"/>
        <w:ind w:left="993" w:hanging="709"/>
        <w:jc w:val="center"/>
        <w:rPr>
          <w:rFonts w:ascii="Times New Roman" w:hAnsi="Times New Roman" w:eastAsia="Calibri" w:cs="Times New Roman"/>
          <w:sz w:val="24"/>
          <w:szCs w:val="24"/>
        </w:rPr>
      </w:pPr>
      <w:r>
        <w:rPr>
          <w:rFonts w:cs="Times New Roman"/>
          <w:b/>
          <w:i/>
          <w:sz w:val="24"/>
          <w:szCs w:val="24"/>
        </w:rPr>
        <w:t>“</w:t>
      </w:r>
      <w:r>
        <w:rPr>
          <w:rFonts w:cs="Times New Roman"/>
          <w:b/>
          <w:i/>
          <w:sz w:val="24"/>
          <w:szCs w:val="24"/>
        </w:rPr>
        <w:t>Būvprojekta izstrāde un autoruzraudzības nodrošināšana siltumtrases Viestura iela – Dzirnavu iela savienojošā posma izbūvei”</w:t>
      </w:r>
    </w:p>
    <w:p>
      <w:pPr>
        <w:pStyle w:val="Normal"/>
        <w:spacing w:lineRule="auto" w:line="240"/>
        <w:ind w:left="-709" w:right="-766" w:hanging="0"/>
        <w:jc w:val="center"/>
        <w:rPr>
          <w:b/>
          <w:bCs/>
          <w:sz w:val="22"/>
          <w:szCs w:val="22"/>
        </w:rPr>
      </w:pPr>
      <w:r>
        <w:rPr>
          <w:b/>
          <w:bCs/>
          <w:sz w:val="22"/>
          <w:szCs w:val="22"/>
        </w:rPr>
        <w:t>Identifikācijas Nr. D</w:t>
      </w:r>
      <w:r>
        <w:rPr>
          <w:rFonts w:eastAsia="Times New Roman" w:cs="Times New Roman"/>
          <w:b/>
          <w:bCs/>
          <w:sz w:val="22"/>
          <w:szCs w:val="22"/>
        </w:rPr>
        <w:t>E</w:t>
      </w:r>
      <w:r>
        <w:rPr>
          <w:b/>
          <w:bCs/>
          <w:sz w:val="22"/>
          <w:szCs w:val="22"/>
        </w:rPr>
        <w:t xml:space="preserve"> 2022/</w:t>
      </w:r>
      <w:bookmarkStart w:id="1" w:name="_Hlk23943724"/>
      <w:bookmarkEnd w:id="1"/>
      <w:r>
        <w:rPr>
          <w:b/>
          <w:bCs/>
          <w:sz w:val="22"/>
          <w:szCs w:val="22"/>
        </w:rPr>
        <w:t>15</w:t>
      </w:r>
    </w:p>
    <w:p>
      <w:pPr>
        <w:pStyle w:val="Normal"/>
        <w:tabs>
          <w:tab w:val="clear" w:pos="720"/>
          <w:tab w:val="left" w:pos="0" w:leader="none"/>
          <w:tab w:val="left" w:pos="426" w:leader="none"/>
        </w:tabs>
        <w:spacing w:lineRule="auto" w:line="240"/>
        <w:jc w:val="both"/>
        <w:rPr/>
      </w:pPr>
      <w:r>
        <w:rPr/>
      </w:r>
    </w:p>
    <w:p>
      <w:pPr>
        <w:pStyle w:val="Normal"/>
        <w:numPr>
          <w:ilvl w:val="0"/>
          <w:numId w:val="1"/>
        </w:numPr>
        <w:tabs>
          <w:tab w:val="clear" w:pos="720"/>
          <w:tab w:val="left" w:pos="0" w:leader="none"/>
          <w:tab w:val="left" w:pos="426" w:leader="none"/>
        </w:tabs>
        <w:spacing w:lineRule="auto" w:line="240"/>
        <w:ind w:left="0" w:hanging="0"/>
        <w:jc w:val="both"/>
        <w:rPr/>
      </w:pPr>
      <w:r>
        <w:rPr>
          <w:i/>
        </w:rPr>
        <w:t>&lt; Pretendents &gt;</w:t>
      </w:r>
      <w:r>
        <w:rPr/>
        <w:t xml:space="preserve"> apņemas veikt iepirkuma </w:t>
      </w:r>
      <w:r>
        <w:rPr>
          <w:rFonts w:cs="Times New Roman"/>
          <w:b/>
          <w:i/>
          <w:sz w:val="24"/>
          <w:szCs w:val="24"/>
        </w:rPr>
        <w:t>“</w:t>
      </w:r>
      <w:bookmarkStart w:id="2" w:name="_Hlk71812576"/>
      <w:bookmarkStart w:id="3" w:name="_Hlk25917113"/>
      <w:r>
        <w:rPr>
          <w:rFonts w:eastAsia="Times New Roman" w:cs="Times New Roman"/>
          <w:b/>
          <w:bCs/>
          <w:i/>
          <w:sz w:val="24"/>
          <w:szCs w:val="24"/>
          <w:lang w:eastAsia="lv-LV" w:bidi="lo-LA"/>
        </w:rPr>
        <w:t>S</w:t>
      </w:r>
      <w:bookmarkEnd w:id="2"/>
      <w:bookmarkEnd w:id="3"/>
      <w:r>
        <w:rPr>
          <w:rFonts w:eastAsia="Times New Roman" w:cs="Times New Roman"/>
          <w:b/>
          <w:bCs/>
          <w:i/>
          <w:sz w:val="24"/>
          <w:szCs w:val="24"/>
          <w:lang w:eastAsia="lv-LV" w:bidi="lo-LA"/>
        </w:rPr>
        <w:t xml:space="preserve">iltumtrases Viestura iela – Dzirnavu iela savienojošā posma izbūve </w:t>
      </w:r>
      <w:r>
        <w:rPr>
          <w:rFonts w:cs="Times New Roman"/>
          <w:b/>
          <w:i/>
          <w:sz w:val="24"/>
          <w:szCs w:val="24"/>
        </w:rPr>
        <w:t>”</w:t>
      </w:r>
      <w:r>
        <w:rPr/>
        <w:t xml:space="preserve">, identifikācijas Nr. </w:t>
      </w:r>
      <w:r>
        <w:rPr>
          <w:rFonts w:eastAsia="Times New Roman" w:cs="Times New Roman"/>
          <w:sz w:val="24"/>
          <w:szCs w:val="24"/>
        </w:rPr>
        <w:t>DE</w:t>
      </w:r>
      <w:r>
        <w:rPr/>
        <w:t xml:space="preserve"> 2023/8 Pakalpojumu saskaņā ar Nolikuma noteikumiem un tehnisko specifikāciju par kopējo cenu: </w:t>
      </w:r>
    </w:p>
    <w:tbl>
      <w:tblPr>
        <w:tblW w:w="9654" w:type="dxa"/>
        <w:jc w:val="left"/>
        <w:tblInd w:w="94" w:type="dxa"/>
        <w:tblLayout w:type="fixed"/>
        <w:tblCellMar>
          <w:top w:w="0" w:type="dxa"/>
          <w:left w:w="108" w:type="dxa"/>
          <w:bottom w:w="0" w:type="dxa"/>
          <w:right w:w="108" w:type="dxa"/>
        </w:tblCellMar>
        <w:tblLook w:firstRow="1" w:noVBand="1" w:lastRow="0" w:firstColumn="1" w:lastColumn="0" w:noHBand="0" w:val="04a0"/>
      </w:tblPr>
      <w:tblGrid>
        <w:gridCol w:w="7102"/>
        <w:gridCol w:w="2551"/>
      </w:tblGrid>
      <w:tr>
        <w:trPr>
          <w:trHeight w:val="521" w:hRule="atLeast"/>
        </w:trPr>
        <w:tc>
          <w:tcPr>
            <w:tcW w:w="7102"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ind w:left="-274" w:firstLine="274"/>
              <w:jc w:val="center"/>
              <w:rPr>
                <w:b/>
                <w:bCs/>
              </w:rPr>
            </w:pPr>
            <w:r>
              <w:rPr>
                <w:b/>
                <w:bCs/>
              </w:rPr>
              <w:t>Pakalpojums</w:t>
            </w:r>
          </w:p>
        </w:tc>
        <w:tc>
          <w:tcPr>
            <w:tcW w:w="2551" w:type="dxa"/>
            <w:tcBorders>
              <w:top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jc w:val="center"/>
              <w:rPr>
                <w:b/>
                <w:bCs/>
              </w:rPr>
            </w:pPr>
            <w:r>
              <w:rPr>
                <w:b/>
                <w:bCs/>
              </w:rPr>
              <w:t>Piedāvātā cena EUR</w:t>
            </w:r>
            <w:r>
              <w:rPr>
                <w:b/>
                <w:bCs/>
                <w:vertAlign w:val="superscript"/>
              </w:rPr>
              <w:t>1</w:t>
            </w:r>
            <w:r>
              <w:rPr>
                <w:b/>
                <w:bCs/>
              </w:rPr>
              <w:t xml:space="preserve"> (bez PVN)</w:t>
            </w:r>
          </w:p>
        </w:tc>
      </w:tr>
      <w:tr>
        <w:trPr>
          <w:trHeight w:val="716" w:hRule="atLeast"/>
        </w:trPr>
        <w:tc>
          <w:tcPr>
            <w:tcW w:w="71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both"/>
              <w:rPr>
                <w:b/>
                <w:bCs/>
              </w:rPr>
            </w:pPr>
            <w:r>
              <w:rPr>
                <w:b/>
                <w:bCs/>
                <w:sz w:val="22"/>
                <w:szCs w:val="22"/>
              </w:rPr>
              <w:t>Siltumtrases savienojošā posma izbūve</w:t>
            </w:r>
          </w:p>
        </w:tc>
        <w:tc>
          <w:tcPr>
            <w:tcW w:w="2551" w:type="dxa"/>
            <w:tcBorders>
              <w:left w:val="single" w:sz="4" w:space="0" w:color="000000"/>
              <w:bottom w:val="single" w:sz="4" w:space="0" w:color="000000"/>
              <w:right w:val="single" w:sz="4" w:space="0" w:color="000000"/>
            </w:tcBorders>
            <w:vAlign w:val="center"/>
          </w:tcPr>
          <w:p>
            <w:pPr>
              <w:pStyle w:val="Normal"/>
              <w:widowControl w:val="false"/>
              <w:spacing w:lineRule="auto" w:line="240"/>
              <w:ind w:left="34" w:hanging="0"/>
              <w:jc w:val="center"/>
              <w:rPr>
                <w:sz w:val="22"/>
                <w:szCs w:val="22"/>
              </w:rPr>
            </w:pPr>
            <w:r>
              <w:rPr>
                <w:sz w:val="22"/>
                <w:szCs w:val="22"/>
              </w:rPr>
            </w:r>
          </w:p>
        </w:tc>
      </w:tr>
      <w:tr>
        <w:trPr>
          <w:trHeight w:val="514" w:hRule="atLeast"/>
        </w:trPr>
        <w:tc>
          <w:tcPr>
            <w:tcW w:w="71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right"/>
              <w:rPr>
                <w:b/>
                <w:sz w:val="22"/>
                <w:szCs w:val="22"/>
              </w:rPr>
            </w:pPr>
            <w:r>
              <w:rPr>
                <w:b/>
                <w:sz w:val="22"/>
                <w:szCs w:val="22"/>
              </w:rPr>
              <w:t>KOPĀ EUR, bez PVN</w:t>
            </w:r>
          </w:p>
        </w:tc>
        <w:tc>
          <w:tcPr>
            <w:tcW w:w="2551" w:type="dxa"/>
            <w:tcBorders>
              <w:left w:val="single" w:sz="4" w:space="0" w:color="000000"/>
              <w:bottom w:val="single" w:sz="4" w:space="0" w:color="000000"/>
              <w:right w:val="single" w:sz="4" w:space="0" w:color="000000"/>
            </w:tcBorders>
            <w:vAlign w:val="center"/>
          </w:tcPr>
          <w:p>
            <w:pPr>
              <w:pStyle w:val="Normal"/>
              <w:widowControl w:val="false"/>
              <w:spacing w:lineRule="auto" w:line="240"/>
              <w:ind w:left="34" w:hanging="0"/>
              <w:jc w:val="center"/>
              <w:rPr>
                <w:b/>
                <w:sz w:val="22"/>
                <w:szCs w:val="22"/>
              </w:rPr>
            </w:pPr>
            <w:r>
              <w:rPr>
                <w:b/>
                <w:sz w:val="22"/>
                <w:szCs w:val="22"/>
              </w:rPr>
            </w:r>
          </w:p>
        </w:tc>
      </w:tr>
      <w:tr>
        <w:trPr>
          <w:trHeight w:val="301" w:hRule="atLeast"/>
        </w:trPr>
        <w:tc>
          <w:tcPr>
            <w:tcW w:w="7102" w:type="dxa"/>
            <w:tcBorders>
              <w:left w:val="single" w:sz="4" w:space="0" w:color="000000"/>
              <w:bottom w:val="single" w:sz="4" w:space="0" w:color="000000"/>
              <w:right w:val="single" w:sz="4" w:space="0" w:color="000000"/>
            </w:tcBorders>
            <w:vAlign w:val="center"/>
          </w:tcPr>
          <w:p>
            <w:pPr>
              <w:pStyle w:val="Normal"/>
              <w:widowControl w:val="false"/>
              <w:spacing w:lineRule="auto" w:line="240"/>
              <w:jc w:val="right"/>
              <w:rPr>
                <w:b/>
                <w:bCs/>
                <w:sz w:val="22"/>
                <w:szCs w:val="22"/>
              </w:rPr>
            </w:pPr>
            <w:r>
              <w:rPr>
                <w:b/>
                <w:bCs/>
                <w:sz w:val="22"/>
                <w:szCs w:val="22"/>
              </w:rPr>
              <w:t>PVN 21%:</w:t>
            </w:r>
          </w:p>
        </w:tc>
        <w:tc>
          <w:tcPr>
            <w:tcW w:w="2551" w:type="dxa"/>
            <w:tcBorders>
              <w:bottom w:val="single" w:sz="4" w:space="0" w:color="000000"/>
              <w:right w:val="single" w:sz="4" w:space="0" w:color="000000"/>
            </w:tcBorders>
            <w:vAlign w:val="center"/>
          </w:tcPr>
          <w:p>
            <w:pPr>
              <w:pStyle w:val="Normal"/>
              <w:widowControl w:val="false"/>
              <w:spacing w:lineRule="auto" w:line="240"/>
              <w:jc w:val="center"/>
              <w:rPr>
                <w:sz w:val="22"/>
                <w:szCs w:val="22"/>
              </w:rPr>
            </w:pPr>
            <w:r>
              <w:rPr>
                <w:sz w:val="22"/>
                <w:szCs w:val="22"/>
              </w:rPr>
            </w:r>
          </w:p>
        </w:tc>
      </w:tr>
      <w:tr>
        <w:trPr>
          <w:trHeight w:val="301" w:hRule="atLeast"/>
        </w:trPr>
        <w:tc>
          <w:tcPr>
            <w:tcW w:w="71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right"/>
              <w:rPr>
                <w:b/>
                <w:bCs/>
                <w:sz w:val="22"/>
                <w:szCs w:val="22"/>
              </w:rPr>
            </w:pPr>
            <w:r>
              <w:rPr>
                <w:b/>
                <w:bCs/>
                <w:sz w:val="22"/>
                <w:szCs w:val="22"/>
              </w:rPr>
              <w:t>Pavisam kopā EUR, ar PVN</w:t>
            </w:r>
            <w:r>
              <w:rPr>
                <w:b/>
                <w:sz w:val="22"/>
                <w:szCs w:val="22"/>
              </w:rPr>
              <w:t>:</w:t>
            </w:r>
          </w:p>
        </w:tc>
        <w:tc>
          <w:tcPr>
            <w:tcW w:w="2551" w:type="dxa"/>
            <w:tcBorders>
              <w:top w:val="single" w:sz="4" w:space="0" w:color="000000"/>
              <w:bottom w:val="single" w:sz="4" w:space="0" w:color="000000"/>
              <w:right w:val="single" w:sz="4" w:space="0" w:color="000000"/>
            </w:tcBorders>
            <w:vAlign w:val="center"/>
          </w:tcPr>
          <w:p>
            <w:pPr>
              <w:pStyle w:val="Normal"/>
              <w:widowControl w:val="false"/>
              <w:spacing w:lineRule="auto" w:line="240"/>
              <w:jc w:val="center"/>
              <w:rPr>
                <w:sz w:val="22"/>
                <w:szCs w:val="22"/>
              </w:rPr>
            </w:pPr>
            <w:r>
              <w:rPr>
                <w:sz w:val="22"/>
                <w:szCs w:val="22"/>
              </w:rPr>
            </w:r>
          </w:p>
        </w:tc>
      </w:tr>
    </w:tbl>
    <w:p>
      <w:pPr>
        <w:pStyle w:val="Normal"/>
        <w:tabs>
          <w:tab w:val="clear" w:pos="720"/>
          <w:tab w:val="left" w:pos="426" w:leader="none"/>
        </w:tabs>
        <w:spacing w:lineRule="auto" w:line="240"/>
        <w:jc w:val="both"/>
        <w:rPr>
          <w:i/>
          <w:i/>
          <w:iCs/>
          <w:vertAlign w:val="superscript"/>
        </w:rPr>
      </w:pPr>
      <w:r>
        <w:rPr>
          <w:i/>
          <w:iCs/>
          <w:vertAlign w:val="superscript"/>
        </w:rPr>
        <w:t xml:space="preserve">1 </w:t>
      </w:r>
      <w:r>
        <w:rPr>
          <w:i/>
          <w:iCs/>
          <w:position w:val="0"/>
          <w:sz w:val="24"/>
          <w:vertAlign w:val="baseline"/>
        </w:rPr>
        <w:t>piedāvātajai cenai jāsakrīt ar Finanšu piedāvājuma pielikuma tāmi</w:t>
      </w:r>
    </w:p>
    <w:p>
      <w:pPr>
        <w:pStyle w:val="Normal"/>
        <w:tabs>
          <w:tab w:val="clear" w:pos="720"/>
          <w:tab w:val="left" w:pos="426" w:leader="none"/>
        </w:tabs>
        <w:spacing w:lineRule="auto" w:line="240"/>
        <w:jc w:val="both"/>
        <w:rPr>
          <w:position w:val="0"/>
          <w:sz w:val="22"/>
          <w:vertAlign w:val="baseline"/>
        </w:rPr>
      </w:pPr>
      <w:r>
        <w:rPr>
          <w:position w:val="0"/>
          <w:sz w:val="22"/>
          <w:vertAlign w:val="baseline"/>
        </w:rPr>
      </w:r>
    </w:p>
    <w:p>
      <w:pPr>
        <w:pStyle w:val="Normal"/>
        <w:tabs>
          <w:tab w:val="clear" w:pos="720"/>
          <w:tab w:val="left" w:pos="426" w:leader="none"/>
        </w:tabs>
        <w:spacing w:lineRule="auto" w:line="240"/>
        <w:jc w:val="both"/>
        <w:rPr>
          <w:vertAlign w:val="superscript"/>
        </w:rPr>
      </w:pPr>
      <w:r>
        <w:rPr>
          <w:vertAlign w:val="superscript"/>
        </w:rPr>
      </w:r>
    </w:p>
    <w:p>
      <w:pPr>
        <w:pStyle w:val="Normal"/>
        <w:tabs>
          <w:tab w:val="clear" w:pos="720"/>
          <w:tab w:val="left" w:pos="426" w:leader="none"/>
        </w:tabs>
        <w:spacing w:lineRule="auto" w:line="240"/>
        <w:jc w:val="both"/>
        <w:rPr>
          <w:vertAlign w:val="superscript"/>
        </w:rPr>
      </w:pPr>
      <w:r>
        <w:rPr>
          <w:vertAlign w:val="superscript"/>
        </w:rPr>
      </w:r>
    </w:p>
    <w:p>
      <w:pPr>
        <w:pStyle w:val="Normal"/>
        <w:tabs>
          <w:tab w:val="clear" w:pos="720"/>
          <w:tab w:val="left" w:pos="426" w:leader="none"/>
        </w:tabs>
        <w:spacing w:lineRule="auto" w:line="240"/>
        <w:jc w:val="both"/>
        <w:rPr>
          <w:vertAlign w:val="superscript"/>
        </w:rPr>
      </w:pPr>
      <w:r>
        <w:rPr>
          <w:vertAlign w:val="superscript"/>
        </w:rPr>
      </w:r>
    </w:p>
    <w:p>
      <w:pPr>
        <w:pStyle w:val="Normal"/>
        <w:tabs>
          <w:tab w:val="clear" w:pos="720"/>
          <w:tab w:val="left" w:pos="426" w:leader="none"/>
        </w:tabs>
        <w:spacing w:lineRule="auto" w:line="240"/>
        <w:jc w:val="both"/>
        <w:rPr>
          <w:vertAlign w:val="superscript"/>
        </w:rPr>
      </w:pPr>
      <w:r>
        <w:rPr>
          <w:vertAlign w:val="superscript"/>
        </w:rPr>
      </w:r>
    </w:p>
    <w:p>
      <w:pPr>
        <w:pStyle w:val="Normal"/>
        <w:numPr>
          <w:ilvl w:val="0"/>
          <w:numId w:val="0"/>
        </w:numPr>
        <w:tabs>
          <w:tab w:val="clear" w:pos="720"/>
        </w:tabs>
        <w:spacing w:before="0" w:after="120"/>
        <w:ind w:left="0" w:hanging="0"/>
        <w:jc w:val="both"/>
        <w:rPr/>
      </w:pPr>
      <w:r>
        <w:rPr/>
        <w:t>2. Piedāvājuma</w:t>
      </w:r>
      <w:r>
        <w:rPr>
          <w:shd w:fill="auto" w:val="clear"/>
        </w:rPr>
        <w:t xml:space="preserve"> Līgumcenā jāietver visi būvdarbi. Būvdarbi ietver darbu apjomu sarakstos minētajās t</w:t>
      </w:r>
      <w:r>
        <w:rPr/>
        <w:t>āmēs uzskaitītos darbus, kā arī visus un jebkādus darbus un procesus, kuri nepieciešami, lai veiktu būvdarbus Būvobjektā saskaņā ar Tehniskajām specifikācijām, Būvprojektu un nodotu Būvobjektu ekspluatācijā un Pasūtītājam, sagatavošanās darbi, būvlaukuma sagatavošana, demontāžas un utilizācijas darbi, pagaidu darbi, materiālu un iekārtu iegādes un piegādes, komunikāciju un iekārtu montāža un pieslēgumi u.c., kā arī visas ar būvniecību un projektēšanu saistītās dokumentācijas kārtošana un iegūšana. Būvdarbi ietver arī visu Būvdarbu izpildei nepieciešamo atļauju un saskaņojumu iegūšanu, būvniecības vadību un organizēšanu, izpilddokumentācijas (t.sk. digitālā veidā izpildshēmas) un citas dokumentācijas sagatavošanu, būves nodošanu ekspluatācijā, kā arī citas darbības, kuras nepieciešamas būvdarbu veikšanai. Uzņēmējs apliecina, ka Finanšu piedāvājuma cenā, kas noteikta atbilstoši Iepirkuma nolikuma un Līguma noteikumiem, tas iekļāvis visas izmaksas, kas saistītas ar būvdarbiem un visu Līgumā un Iepirkuma dokumentos noteikto prasību izpildi.</w:t>
      </w:r>
    </w:p>
    <w:p>
      <w:pPr>
        <w:pStyle w:val="Normal"/>
        <w:numPr>
          <w:ilvl w:val="0"/>
          <w:numId w:val="0"/>
        </w:numPr>
        <w:tabs>
          <w:tab w:val="clear" w:pos="720"/>
        </w:tabs>
        <w:spacing w:before="0" w:after="120"/>
        <w:ind w:left="0" w:hanging="0"/>
        <w:jc w:val="both"/>
        <w:rPr/>
      </w:pPr>
      <w:r>
        <w:rPr/>
        <w:t>3. Nosakot darbu un materiālu cenas, Pretendentam jāņem vērā, ka samaksa ir paredzēta tikai par pilnīgi pabeigtu darbu – tīru darba apjomu, svaru, izmēriem, ekspluatācijai gatavu būvi, neņemot vērā radušos atlikumus, atgriezumus, virsmas liekumus u.tml. Kopsavilkumu aprēķiniem pa darbu vai konstruktīvo elementu veidiem Pretendents izmanto</w:t>
      </w:r>
      <w:r>
        <w:rPr>
          <w:shd w:fill="auto" w:val="clear"/>
        </w:rPr>
        <w:t xml:space="preserve"> Finanšu piedāvājuma pielikumu – Būvdarbu tāmi, ietverot visus izdevumus, tādus kā</w:t>
      </w:r>
      <w:r>
        <w:rPr/>
        <w:t xml:space="preserve"> - virsizdevumi un pieskaitāmie izdevumi, apdrošināšanas izdevumi, bankas galvojumi un citi izdevumi atbilstoši Tehniskajām specifikācijām un līgumam, testēšanas, darba aizsardzības, kvalitātes kontroles un vides aizsardzības izdevumi un peļņa.</w:t>
      </w:r>
    </w:p>
    <w:p>
      <w:pPr>
        <w:pStyle w:val="Normal"/>
        <w:numPr>
          <w:ilvl w:val="0"/>
          <w:numId w:val="0"/>
        </w:numPr>
        <w:tabs>
          <w:tab w:val="clear" w:pos="720"/>
        </w:tabs>
        <w:spacing w:before="0" w:after="120"/>
        <w:ind w:left="0" w:hanging="0"/>
        <w:jc w:val="both"/>
        <w:rPr/>
      </w:pPr>
      <w:r>
        <w:rPr/>
        <w:t>4. Paskaidrojuma raksts par Finanšu piedāvājuma pielikumu – tāmes aizpildīšanu:</w:t>
      </w:r>
    </w:p>
    <w:p>
      <w:pPr>
        <w:pStyle w:val="Normal"/>
        <w:numPr>
          <w:ilvl w:val="0"/>
          <w:numId w:val="0"/>
        </w:numPr>
        <w:tabs>
          <w:tab w:val="clear" w:pos="720"/>
        </w:tabs>
        <w:spacing w:before="0" w:after="120"/>
        <w:ind w:left="0" w:hanging="0"/>
        <w:jc w:val="both"/>
        <w:rPr/>
      </w:pPr>
      <w:r>
        <w:rPr/>
        <w:t>4.1. Pretendentam ir jāaizpilda sagatavotie Finanšu piedāvājuma pielikums valsts valodā datordrukā, atbilstoši MK noteikumiem Nr.239 LBN 501-17 „Būvizmaksu noteikšanas kārtība” prasībām.</w:t>
      </w:r>
    </w:p>
    <w:p>
      <w:pPr>
        <w:pStyle w:val="Normal"/>
        <w:numPr>
          <w:ilvl w:val="0"/>
          <w:numId w:val="0"/>
        </w:numPr>
        <w:tabs>
          <w:tab w:val="clear" w:pos="720"/>
        </w:tabs>
        <w:spacing w:before="0" w:after="120"/>
        <w:ind w:left="0" w:hanging="0"/>
        <w:jc w:val="both"/>
        <w:rPr/>
      </w:pPr>
      <w:r>
        <w:rPr/>
        <w:t>4.2. Finanšu piedāvājuma pielikumā rindu numerāciju un nosaukumus mainīt nedrīkst! Pretendents ir atbildīgs par pareizu formulu izmantošanu.</w:t>
      </w:r>
    </w:p>
    <w:p>
      <w:pPr>
        <w:pStyle w:val="Normal"/>
        <w:numPr>
          <w:ilvl w:val="0"/>
          <w:numId w:val="0"/>
        </w:numPr>
        <w:tabs>
          <w:tab w:val="clear" w:pos="720"/>
        </w:tabs>
        <w:spacing w:before="0" w:after="120"/>
        <w:ind w:left="0" w:hanging="0"/>
        <w:jc w:val="both"/>
        <w:rPr/>
      </w:pPr>
      <w:r>
        <w:rPr/>
        <w:t>4.3. Izvēloties ekvivalentu materiālu vai izstrādājumu, tas ir skaidri jānorāda tāmes attiecīgajā rindā. Visi Finanšu piedāvājuma pielikumā minētie materiāli vai izstrādājumi ir uzrādīti ar mērķi sagatavot pietiekami precīzu un skaidru līguma priekšmeta aprakstu, kas ir jālieto kopā ar vārdiem „vai ekvivalents”, pat ja tas kādā no vietām nav šādi norādīts.</w:t>
      </w:r>
    </w:p>
    <w:p>
      <w:pPr>
        <w:pStyle w:val="Normal"/>
        <w:numPr>
          <w:ilvl w:val="0"/>
          <w:numId w:val="0"/>
        </w:numPr>
        <w:tabs>
          <w:tab w:val="clear" w:pos="720"/>
        </w:tabs>
        <w:spacing w:before="0" w:after="120"/>
        <w:ind w:left="0" w:hanging="0"/>
        <w:jc w:val="both"/>
        <w:rPr/>
      </w:pPr>
      <w:r>
        <w:rPr/>
        <w:t>4.4. Pretendentam jāparedz izmaksas par visiem nepieciešamajiem saskaņojumiem, atļaujām un to nosacījumu izpildi būvdarbu uzsākšanai, un Būvobjekta nodošanai ekspluatācijā.</w:t>
      </w:r>
    </w:p>
    <w:p>
      <w:pPr>
        <w:pStyle w:val="Normal"/>
        <w:numPr>
          <w:ilvl w:val="0"/>
          <w:numId w:val="0"/>
        </w:numPr>
        <w:tabs>
          <w:tab w:val="clear" w:pos="720"/>
        </w:tabs>
        <w:spacing w:before="0" w:after="120"/>
        <w:ind w:left="0" w:hanging="0"/>
        <w:jc w:val="both"/>
        <w:rPr/>
      </w:pPr>
      <w:r>
        <w:rPr/>
        <w:t>4.5. Vienības cenā ir jāņem vērā jebkādi citi darbi, kuri ietver visus darbus, kuri ietverti Būvprojektā un/vai ir nepieciešami darbu nodrošināšanai. Ja arī kāds darbs nav īpaši uzsvērts, tad Pretendentam, ņemot vērā tā profesionālo pieredzi, ir jāizvērtē visi darbi, kas vajadzīgi būvlaukuma funkcionēšanai, būvniecībai un Būvobjekta pilnīgai nodošanai ekspluatācijā, kā arī defektu novēršanai garantijas periodā. Nekāda papildu maksa par neuzskaitītiem darbiem netiek atzīta.</w:t>
      </w:r>
    </w:p>
    <w:p>
      <w:pPr>
        <w:pStyle w:val="Normal"/>
        <w:jc w:val="left"/>
        <w:rPr>
          <w:rFonts w:ascii="Times New Roman" w:hAnsi="Times New Roman" w:cs="Times New Roman"/>
          <w:b/>
          <w:bCs/>
        </w:rPr>
      </w:pPr>
      <w:r>
        <w:rPr>
          <w:rFonts w:cs="Times New Roman"/>
          <w:b/>
          <w:bCs/>
        </w:rPr>
      </w:r>
    </w:p>
    <w:p>
      <w:pPr>
        <w:pStyle w:val="Normal"/>
        <w:jc w:val="left"/>
        <w:rPr>
          <w:rFonts w:ascii="Times New Roman" w:hAnsi="Times New Roman" w:cs="Times New Roman"/>
          <w:b/>
          <w:bCs/>
        </w:rPr>
      </w:pPr>
      <w:r>
        <w:rPr>
          <w:rFonts w:cs="Times New Roman"/>
          <w:b/>
          <w:bCs/>
        </w:rPr>
        <w:t>Pielikums – Finanšu piedāvājuma tāme</w:t>
      </w:r>
    </w:p>
    <w:p>
      <w:pPr>
        <w:pStyle w:val="Normal"/>
        <w:jc w:val="left"/>
        <w:rPr>
          <w:rFonts w:ascii="Times New Roman" w:hAnsi="Times New Roman" w:cs="Times New Roman"/>
          <w:b/>
          <w:bCs/>
        </w:rPr>
      </w:pPr>
      <w:r>
        <w:rPr>
          <w:rFonts w:cs="Times New Roman"/>
          <w:b/>
          <w:bCs/>
        </w:rPr>
      </w:r>
    </w:p>
    <w:p>
      <w:pPr>
        <w:pStyle w:val="Normal"/>
        <w:jc w:val="left"/>
        <w:rPr>
          <w:rFonts w:ascii="Times New Roman" w:hAnsi="Times New Roman" w:cs="Times New Roman"/>
          <w:b/>
          <w:bCs/>
        </w:rPr>
      </w:pPr>
      <w:r>
        <w:rPr>
          <w:rFonts w:cs="Times New Roman"/>
          <w:b/>
          <w:bCs/>
        </w:rPr>
      </w:r>
    </w:p>
    <w:p>
      <w:pPr>
        <w:pStyle w:val="Normal"/>
        <w:jc w:val="right"/>
        <w:rPr>
          <w:rFonts w:ascii="Times New Roman" w:hAnsi="Times New Roman" w:cs="Times New Roman"/>
        </w:rPr>
      </w:pPr>
      <w:r>
        <w:rPr>
          <w:rFonts w:cs="Times New Roman"/>
        </w:rPr>
      </w:r>
    </w:p>
    <w:p>
      <w:pPr>
        <w:pStyle w:val="Normal"/>
        <w:jc w:val="right"/>
        <w:rPr>
          <w:rFonts w:ascii="Times New Roman" w:hAnsi="Times New Roman" w:cs="Times New Roman"/>
        </w:rPr>
      </w:pPr>
      <w:r>
        <w:rPr>
          <w:rFonts w:cs="Times New Roman"/>
        </w:rPr>
        <w:t xml:space="preserve">Pretendenta paraksttiesīgās personas vai pilnvarotās personas </w:t>
      </w:r>
    </w:p>
    <w:p>
      <w:pPr>
        <w:pStyle w:val="Normal"/>
        <w:jc w:val="right"/>
        <w:rPr>
          <w:rFonts w:ascii="Times New Roman" w:hAnsi="Times New Roman" w:cs="Times New Roman"/>
        </w:rPr>
      </w:pPr>
      <w:r>
        <w:rPr>
          <w:rFonts w:cs="Times New Roman"/>
        </w:rPr>
      </w:r>
    </w:p>
    <w:p>
      <w:pPr>
        <w:pStyle w:val="Normal"/>
        <w:jc w:val="right"/>
        <w:rPr>
          <w:rFonts w:ascii="Times New Roman" w:hAnsi="Times New Roman" w:cs="Times New Roman"/>
        </w:rPr>
      </w:pPr>
      <w:r>
        <w:rPr>
          <w:rFonts w:cs="Times New Roman"/>
          <w:i/>
          <w:iCs/>
        </w:rPr>
        <w:t>vārd</w:t>
      </w:r>
      <w:r>
        <w:rPr>
          <w:rFonts w:cs="Times New Roman"/>
          <w:i/>
        </w:rPr>
        <w:t>s, uzvārds</w:t>
      </w:r>
      <w:r>
        <w:rPr>
          <w:rFonts w:cs="Times New Roman"/>
        </w:rPr>
        <w:t xml:space="preserve"> _________________________________</w:t>
      </w:r>
    </w:p>
    <w:p>
      <w:pPr>
        <w:pStyle w:val="Normal"/>
        <w:jc w:val="right"/>
        <w:rPr>
          <w:rFonts w:ascii="Times New Roman" w:hAnsi="Times New Roman" w:cs="Times New Roman"/>
        </w:rPr>
      </w:pPr>
      <w:r>
        <w:rPr>
          <w:rFonts w:cs="Times New Roman"/>
        </w:rPr>
      </w:r>
    </w:p>
    <w:p>
      <w:pPr>
        <w:pStyle w:val="Normal"/>
        <w:jc w:val="right"/>
        <w:rPr/>
      </w:pPr>
      <w:r>
        <w:rPr>
          <w:rFonts w:cs="Times New Roman"/>
          <w:i/>
        </w:rPr>
        <w:t>ieņemamais amats:________________________________</w:t>
      </w:r>
    </w:p>
    <w:p>
      <w:pPr>
        <w:pStyle w:val="Normal"/>
        <w:jc w:val="right"/>
        <w:rPr>
          <w:rFonts w:ascii="Times New Roman" w:hAnsi="Times New Roman" w:cs="Times New Roman"/>
          <w:i/>
          <w:i/>
        </w:rPr>
      </w:pPr>
      <w:r>
        <w:rPr>
          <w:rFonts w:cs="Times New Roman"/>
          <w:i/>
        </w:rPr>
      </w:r>
      <w:bookmarkStart w:id="4" w:name="_Hlk45008671"/>
      <w:bookmarkStart w:id="5" w:name="_Hlk45008671"/>
      <w:bookmarkEnd w:id="5"/>
    </w:p>
    <w:p>
      <w:pPr>
        <w:pStyle w:val="Normal"/>
        <w:jc w:val="right"/>
        <w:rPr>
          <w:rFonts w:ascii="Times New Roman" w:hAnsi="Times New Roman" w:cs="Times New Roman"/>
        </w:rPr>
      </w:pPr>
      <w:bookmarkStart w:id="6" w:name="_Hlk450086711"/>
      <w:bookmarkEnd w:id="6"/>
      <w:r>
        <w:rPr>
          <w:rFonts w:cs="Times New Roman"/>
          <w:i/>
          <w:iCs/>
        </w:rPr>
        <w:t>paraksts</w:t>
      </w:r>
      <w:r>
        <w:rPr>
          <w:rFonts w:cs="Times New Roman"/>
          <w:i/>
        </w:rPr>
        <w:t>:________________________________</w:t>
      </w:r>
    </w:p>
    <w:p>
      <w:pPr>
        <w:pStyle w:val="Normal"/>
        <w:spacing w:before="0" w:after="160"/>
        <w:jc w:val="right"/>
        <w:rPr>
          <w:rFonts w:ascii="Times New Roman" w:hAnsi="Times New Roman" w:cs="Times New Roman"/>
        </w:rPr>
      </w:pPr>
      <w:r>
        <w:rPr/>
      </w:r>
    </w:p>
    <w:sectPr>
      <w:type w:val="nextPage"/>
      <w:pgSz w:w="11906" w:h="16838"/>
      <w:pgMar w:left="1134" w:right="1133"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1.%2."/>
      <w:lvlJc w:val="left"/>
      <w:pPr>
        <w:tabs>
          <w:tab w:val="num" w:pos="795"/>
        </w:tabs>
        <w:ind w:left="795" w:hanging="435"/>
      </w:pPr>
      <w:rPr/>
    </w:lvl>
    <w:lvl w:ilvl="2">
      <w:start w:val="1"/>
      <w:numFmt w:val="decimal"/>
      <w:lvlText w:val="%1.%2.%3."/>
      <w:lvlJc w:val="left"/>
      <w:pPr>
        <w:tabs>
          <w:tab w:val="num" w:pos="1080"/>
        </w:tabs>
        <w:ind w:left="1080" w:hanging="720"/>
      </w:pPr>
      <w:rPr/>
    </w:lvl>
    <w:lvl w:ilvl="3">
      <w:start w:val="1"/>
      <w:numFmt w:val="decimal"/>
      <w:lvlText w:val="%1.%2.%3.%4."/>
      <w:lvlJc w:val="left"/>
      <w:pPr>
        <w:tabs>
          <w:tab w:val="num" w:pos="1080"/>
        </w:tabs>
        <w:ind w:left="1080" w:hanging="720"/>
      </w:pPr>
      <w:rPr/>
    </w:lvl>
    <w:lvl w:ilvl="4">
      <w:start w:val="1"/>
      <w:numFmt w:val="decimal"/>
      <w:lvlText w:val="%1.%2.%3.%4.%5."/>
      <w:lvlJc w:val="left"/>
      <w:pPr>
        <w:tabs>
          <w:tab w:val="num" w:pos="1440"/>
        </w:tabs>
        <w:ind w:left="1440" w:hanging="1080"/>
      </w:pPr>
      <w:rPr/>
    </w:lvl>
    <w:lvl w:ilvl="5">
      <w:start w:val="1"/>
      <w:numFmt w:val="decimal"/>
      <w:lvlText w:val="%1.%2.%3.%4.%5.%6."/>
      <w:lvlJc w:val="left"/>
      <w:pPr>
        <w:tabs>
          <w:tab w:val="num" w:pos="1440"/>
        </w:tabs>
        <w:ind w:left="1440" w:hanging="1080"/>
      </w:pPr>
      <w:rPr/>
    </w:lvl>
    <w:lvl w:ilvl="6">
      <w:start w:val="1"/>
      <w:numFmt w:val="decimal"/>
      <w:lvlText w:val="%1.%2.%3.%4.%5.%6.%7."/>
      <w:lvlJc w:val="left"/>
      <w:pPr>
        <w:tabs>
          <w:tab w:val="num" w:pos="1800"/>
        </w:tabs>
        <w:ind w:left="1800" w:hanging="1440"/>
      </w:pPr>
      <w:rPr/>
    </w:lvl>
    <w:lvl w:ilvl="7">
      <w:start w:val="1"/>
      <w:numFmt w:val="decimal"/>
      <w:lvlText w:val="%1.%2.%3.%4.%5.%6.%7.%8."/>
      <w:lvlJc w:val="left"/>
      <w:pPr>
        <w:tabs>
          <w:tab w:val="num" w:pos="1800"/>
        </w:tabs>
        <w:ind w:left="1800" w:hanging="1440"/>
      </w:pPr>
      <w:rPr/>
    </w:lvl>
    <w:lvl w:ilvl="8">
      <w:start w:val="1"/>
      <w:numFmt w:val="decimal"/>
      <w:lvlText w:val="%1.%2.%3.%4.%5.%6.%7.%8.%9."/>
      <w:lvlJc w:val="left"/>
      <w:pPr>
        <w:tabs>
          <w:tab w:val="num" w:pos="2160"/>
        </w:tabs>
        <w:ind w:left="2160" w:hanging="180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lv-LV"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342c7"/>
    <w:pPr>
      <w:widowControl/>
      <w:suppressAutoHyphens w:val="true"/>
      <w:bidi w:val="0"/>
      <w:spacing w:lineRule="auto" w:line="276" w:before="0" w:after="0"/>
      <w:jc w:val="left"/>
    </w:pPr>
    <w:rPr>
      <w:rFonts w:ascii="Times New Roman" w:hAnsi="Times New Roman" w:eastAsia="Times New Roman" w:cs="Times New Roman"/>
      <w:color w:val="auto"/>
      <w:kern w:val="0"/>
      <w:sz w:val="24"/>
      <w:szCs w:val="24"/>
      <w:lang w:val="lv-LV" w:eastAsia="en-US" w:bidi="ar-SA"/>
    </w:rPr>
  </w:style>
  <w:style w:type="character" w:styleId="DefaultParagraphFont" w:default="1">
    <w:name w:val="Default Paragraph Font"/>
    <w:uiPriority w:val="1"/>
    <w:semiHidden/>
    <w:unhideWhenUsed/>
    <w:qFormat/>
    <w:rPr/>
  </w:style>
  <w:style w:type="character" w:styleId="FootnoteTextChar" w:customStyle="1">
    <w:name w:val="Footnote Text Char"/>
    <w:basedOn w:val="DefaultParagraphFont"/>
    <w:uiPriority w:val="99"/>
    <w:semiHidden/>
    <w:qFormat/>
    <w:rsid w:val="00301fe6"/>
    <w:rPr>
      <w:rFonts w:ascii="Times New Roman" w:hAnsi="Times New Roman" w:eastAsia="Times New Roman" w:cs="Times New Roman"/>
      <w:sz w:val="20"/>
      <w:szCs w:val="20"/>
    </w:rPr>
  </w:style>
  <w:style w:type="character" w:styleId="FootnoteCharacters">
    <w:name w:val="Footnote Characters"/>
    <w:uiPriority w:val="99"/>
    <w:semiHidden/>
    <w:unhideWhenUsed/>
    <w:qFormat/>
    <w:rsid w:val="00301fe6"/>
    <w:rPr>
      <w:vertAlign w:val="superscript"/>
    </w:rPr>
  </w:style>
  <w:style w:type="character" w:styleId="FootnoteAnchor">
    <w:name w:val="Footnote Reference"/>
    <w:rPr>
      <w:vertAlign w:val="superscript"/>
    </w:rPr>
  </w:style>
  <w:style w:type="character" w:styleId="BalloonTextChar" w:customStyle="1">
    <w:name w:val="Balloon Text Char"/>
    <w:basedOn w:val="DefaultParagraphFont"/>
    <w:link w:val="BalloonText"/>
    <w:uiPriority w:val="99"/>
    <w:semiHidden/>
    <w:qFormat/>
    <w:rsid w:val="00e015f0"/>
    <w:rPr>
      <w:rFonts w:ascii="Tahoma" w:hAnsi="Tahoma" w:eastAsia="Times New Roman"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Footnote">
    <w:name w:val="Footnote Text"/>
    <w:basedOn w:val="Normal"/>
    <w:link w:val="FootnoteTextChar"/>
    <w:uiPriority w:val="99"/>
    <w:semiHidden/>
    <w:unhideWhenUsed/>
    <w:rsid w:val="00301fe6"/>
    <w:pPr>
      <w:spacing w:lineRule="auto" w:line="240"/>
    </w:pPr>
    <w:rPr>
      <w:sz w:val="20"/>
      <w:szCs w:val="20"/>
    </w:rPr>
  </w:style>
  <w:style w:type="paragraph" w:styleId="BalloonText">
    <w:name w:val="Balloon Text"/>
    <w:basedOn w:val="Normal"/>
    <w:link w:val="BalloonTextChar"/>
    <w:uiPriority w:val="99"/>
    <w:semiHidden/>
    <w:unhideWhenUsed/>
    <w:qFormat/>
    <w:rsid w:val="00e015f0"/>
    <w:pPr>
      <w:spacing w:lineRule="auto" w:line="24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0556D-E845-41FC-B049-867A49FBB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Application>LibreOffice/7.5.3.2$Windows_X86_64 LibreOffice_project/9f56dff12ba03b9acd7730a5a481eea045e468f3</Application>
  <AppVersion>15.0000</AppVersion>
  <Pages>2</Pages>
  <Words>505</Words>
  <Characters>3628</Characters>
  <CharactersWithSpaces>4114</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2021-06-29T13:05:00Z</dcterms:created>
  <dc:creator>Māra Grava</dc:creator>
  <dc:description/>
  <dc:language>lv-LV</dc:language>
  <cp:lastModifiedBy/>
  <dcterms:modified xsi:type="dcterms:W3CDTF">2023-05-22T13:49:03Z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