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/>
      </w:pPr>
      <w:r>
        <w:object w:dxaOrig="1365" w:dyaOrig="1755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11.8pt;margin-top:3.95pt;width:45pt;height:54pt;mso-wrap-distance-right:0pt;mso-position-horizontal-relative:text;mso-position-vertical-relative:text" filled="t" fillcolor="#FFFFFF" o:ole="">
            <v:imagedata r:id="rId3" o:title=""/>
          </v:shape>
          <o:OLEObject Type="Embed" ProgID="" ShapeID="ole_rId2" DrawAspect="Content" ObjectID="_1155970003" r:id="rId2"/>
        </w:object>
      </w:r>
      <w:r>
        <w:rPr>
          <w:rFonts w:ascii="Arial" w:hAnsi="Arial"/>
          <w:bCs/>
          <w:spacing w:val="10"/>
          <w:sz w:val="22"/>
          <w:szCs w:val="22"/>
          <w:lang w:val="lv-LV"/>
        </w:rPr>
        <w:t>LATVIJAS REPUBLIKA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lang w:val="lv-LV"/>
        </w:rPr>
      </w:pPr>
      <w:r>
        <w:rPr>
          <w:rFonts w:ascii="Arial" w:hAnsi="Arial"/>
          <w:b/>
          <w:spacing w:val="10"/>
          <w:sz w:val="28"/>
          <w:szCs w:val="22"/>
          <w:lang w:val="lv-LV"/>
        </w:rPr>
        <w:t>SIA „DOBELES ENERĢIJA“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lang w:val="lv-LV"/>
        </w:rPr>
      </w:pPr>
      <w:r>
        <w:rPr>
          <w:rFonts w:ascii="Arial" w:hAnsi="Arial"/>
          <w:b w:val="false"/>
          <w:bCs w:val="false"/>
          <w:spacing w:val="10"/>
          <w:lang w:val="lv-LV"/>
        </w:rPr>
        <w:t>J</w:t>
      </w:r>
      <w:r>
        <w:rPr>
          <w:rFonts w:eastAsia="SimSun" w:cs="Arial" w:ascii="Arial" w:hAnsi="Arial"/>
          <w:b w:val="false"/>
          <w:bCs w:val="false"/>
          <w:spacing w:val="10"/>
          <w:szCs w:val="24"/>
          <w:lang w:val="lv-LV"/>
        </w:rPr>
        <w:t xml:space="preserve">uridiskā adrese- Spodrības iela 4a, Dobele, Dobeles novads, LV-3701, </w:t>
      </w:r>
    </w:p>
    <w:p>
      <w:pPr>
        <w:pStyle w:val="Header"/>
        <w:tabs>
          <w:tab w:val="clear" w:pos="709"/>
          <w:tab w:val="center" w:pos="4153" w:leader="none"/>
          <w:tab w:val="right" w:pos="8306" w:leader="none"/>
        </w:tabs>
        <w:bidi w:val="0"/>
        <w:jc w:val="center"/>
        <w:rPr>
          <w:lang w:val="lv-LV"/>
        </w:rPr>
      </w:pPr>
      <w:r>
        <w:rPr>
          <w:rFonts w:eastAsia="SimSun" w:cs="Arial" w:ascii="Arial" w:hAnsi="Arial"/>
          <w:b w:val="false"/>
          <w:bCs w:val="false"/>
          <w:spacing w:val="10"/>
          <w:szCs w:val="24"/>
          <w:lang w:val="lv-LV"/>
        </w:rPr>
        <w:t xml:space="preserve">Pasta adrese- Kr.Valdemāra iela 3a, Dobele, Dobeles novads, LV-3701, 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0"/>
        </w:rPr>
        <w:t>Vien. Reģ. Nr. 45103002039, PVN LV 45103002039,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SEB Banka, Bankas kods – UNLALV2X, Norēķinu konta Nr. LV13 UNLA 0006 0002 0620 1,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0"/>
        </w:rPr>
        <w:t>Tel. 63722437, 63707212, 63707213</w:t>
      </w:r>
    </w:p>
    <w:p>
      <w:pPr>
        <w:pStyle w:val="Heading1"/>
        <w:numPr>
          <w:ilvl w:val="0"/>
          <w:numId w:val="0"/>
        </w:numPr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-410210</wp:posOffset>
                </wp:positionH>
                <wp:positionV relativeFrom="paragraph">
                  <wp:posOffset>126365</wp:posOffset>
                </wp:positionV>
                <wp:extent cx="6751955" cy="635"/>
                <wp:effectExtent l="0" t="0" r="0" b="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3pt,9.95pt" to="499.25pt,9.95pt" ID="Image1" stroked="t" o:allowincell="f" style="position:absolute">
                <v:stroke color="black" weight="9360" joinstyle="round" endcap="flat"/>
                <v:fill o:detectmouseclick="t" on="false"/>
                <w10:wrap type="square"/>
              </v:line>
            </w:pict>
          </mc:Fallback>
        </mc:AlternateContent>
      </w:r>
    </w:p>
    <w:tbl>
      <w:tblPr>
        <w:tblW w:w="84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2"/>
        <w:gridCol w:w="4260"/>
      </w:tblGrid>
      <w:tr>
        <w:trPr/>
        <w:tc>
          <w:tcPr>
            <w:tcW w:w="4152" w:type="dxa"/>
            <w:tcBorders/>
          </w:tcPr>
          <w:p>
            <w:pPr>
              <w:pStyle w:val="Header"/>
              <w:widowControl w:val="false"/>
              <w:tabs>
                <w:tab w:val="clear" w:pos="709"/>
                <w:tab w:val="center" w:pos="4153" w:leader="none"/>
                <w:tab w:val="right" w:pos="8306" w:leader="none"/>
              </w:tabs>
              <w:bidi w:val="0"/>
              <w:jc w:val="left"/>
              <w:rPr>
                <w:lang w:val="lv-LV"/>
              </w:rPr>
            </w:pPr>
            <w:r>
              <w:rPr>
                <w:rFonts w:ascii="Arial" w:hAnsi="Arial"/>
                <w:sz w:val="24"/>
                <w:szCs w:val="24"/>
                <w:lang w:val="lv-LV"/>
              </w:rPr>
              <w:t>Dobele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right"/>
              <w:rPr/>
            </w:pPr>
            <w:r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.gada </w:t>
            </w:r>
            <w:r>
              <w:rPr>
                <w:rFonts w:eastAsia="SimSun" w:ascii="Arial" w:hAnsi="Arial"/>
              </w:rPr>
              <w:t>10</w:t>
            </w:r>
            <w:r>
              <w:rPr>
                <w:rFonts w:ascii="Arial" w:hAnsi="Arial"/>
              </w:rPr>
              <w:t>.</w:t>
            </w:r>
            <w:r>
              <w:rPr>
                <w:rFonts w:eastAsia="SimSun" w:ascii="Arial" w:hAnsi="Arial"/>
              </w:rPr>
              <w:t>februāris</w:t>
            </w:r>
          </w:p>
        </w:tc>
      </w:tr>
    </w:tbl>
    <w:p>
      <w:pPr>
        <w:pStyle w:val="Normal"/>
        <w:widowControl w:val="false"/>
        <w:bidi w:val="0"/>
        <w:jc w:val="right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</w:r>
    </w:p>
    <w:p>
      <w:pPr>
        <w:pStyle w:val="Normal"/>
        <w:bidi w:val="0"/>
        <w:jc w:val="right"/>
        <w:rPr/>
      </w:pPr>
      <w:r>
        <w:rPr>
          <w:rFonts w:ascii="Arial" w:hAnsi="Arial"/>
        </w:rPr>
        <w:t xml:space="preserve">Nr. 1/13 - </w:t>
      </w:r>
      <w:r>
        <w:rPr>
          <w:rFonts w:eastAsia="SimSun" w:ascii="Arial" w:hAnsi="Arial"/>
          <w:b/>
          <w:bCs/>
        </w:rPr>
        <w:t>3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right"/>
        <w:rPr>
          <w:rFonts w:ascii="Arial" w:hAnsi="Arial" w:eastAsia="SimSun"/>
          <w:b/>
          <w:b/>
          <w:bCs/>
        </w:rPr>
      </w:pPr>
      <w:r>
        <w:rPr/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Par </w:t>
      </w:r>
      <w:r>
        <w:rPr>
          <w:rFonts w:eastAsia="SimSun" w:ascii="Arial" w:hAnsi="Arial"/>
        </w:rPr>
        <w:t xml:space="preserve">izmaiņām </w:t>
      </w:r>
      <w:r>
        <w:rPr>
          <w:rFonts w:eastAsia="SimSun" w:ascii="Arial" w:hAnsi="Arial"/>
        </w:rPr>
        <w:t>iepirkuma nolikumā “Dabasgāze piegāde”, DE 2023/2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 w:before="114" w:after="114"/>
        <w:jc w:val="both"/>
        <w:rPr/>
      </w:pPr>
      <w:r>
        <w:rPr>
          <w:rFonts w:ascii="Arial" w:hAnsi="Arial"/>
        </w:rPr>
        <w:tab/>
      </w:r>
      <w:r>
        <w:rPr>
          <w:rFonts w:ascii="Arial" w:hAnsi="Arial"/>
          <w:b w:val="false"/>
          <w:bCs w:val="false"/>
        </w:rPr>
        <w:t>Lai ievērotu SPSIL noteikto termiņu piedāvājuma iesniegšanai – 20 dienas, Nolikumā tiek grozīts piedāvājuma iesniegšanas laiks un piedāvājuma atvēršanas laiks.</w:t>
      </w:r>
    </w:p>
    <w:p>
      <w:pPr>
        <w:pStyle w:val="Normal"/>
        <w:bidi w:val="0"/>
        <w:spacing w:lineRule="auto" w:line="276" w:before="114" w:after="114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u w:val="single"/>
        </w:rPr>
        <w:t>Piedāvājuma iesniegšanas termiņš – līdz 2023.gada 3.marta plkst. 7:00.</w:t>
      </w:r>
    </w:p>
    <w:p>
      <w:pPr>
        <w:pStyle w:val="Normal"/>
        <w:bidi w:val="0"/>
        <w:spacing w:lineRule="auto" w:line="276" w:before="114" w:after="114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u w:val="single"/>
        </w:rPr>
        <w:t>Piedāvājuma atvēršanas laiks – 2023.gada 3.martā plkst. 11:00/</w:t>
      </w:r>
    </w:p>
    <w:p>
      <w:pPr>
        <w:pStyle w:val="Normal"/>
        <w:bidi w:val="0"/>
        <w:spacing w:lineRule="auto" w:line="276" w:before="114" w:after="114"/>
        <w:jc w:val="both"/>
        <w:rPr>
          <w:rFonts w:ascii="Arial" w:hAnsi="Arial"/>
          <w:u w:val="singl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 w:before="114" w:after="114"/>
        <w:jc w:val="both"/>
        <w:rPr>
          <w:rFonts w:ascii="Arial" w:hAnsi="Arial"/>
          <w:u w:val="singl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 w:before="114" w:after="114"/>
        <w:jc w:val="both"/>
        <w:rPr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S</w:t>
      </w:r>
      <w:r>
        <w:rPr>
          <w:rFonts w:ascii="Arial" w:hAnsi="Arial"/>
          <w:b w:val="false"/>
          <w:bCs w:val="false"/>
          <w:u w:val="none"/>
        </w:rPr>
        <w:t>IA “Dobeles enerģija”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LibreOffice/7.2.2.2$Windows_X86_64 LibreOffice_project/02b2acce88a210515b4a5bb2e46cbfb63fe97d56</Application>
  <AppVersion>15.0000</AppVersion>
  <Pages>1</Pages>
  <Words>100</Words>
  <Characters>664</Characters>
  <CharactersWithSpaces>757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2023-02-10T14:17:00Z</dcterms:modified>
  <cp:revision>1</cp:revision>
  <dc:subject/>
  <dc:title/>
</cp:coreProperties>
</file>