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jc w:val="right"/>
        <w:rPr>
          <w:sz w:val="22"/>
          <w:szCs w:val="22"/>
        </w:rPr>
      </w:pPr>
      <w:r>
        <w:rPr>
          <w:sz w:val="22"/>
          <w:szCs w:val="22"/>
        </w:rPr>
        <w:t>Identifikācijas Nr. D</w:t>
      </w:r>
      <w:r>
        <w:rPr>
          <w:rFonts w:eastAsia="Times New Roman" w:cs="Times New Roman"/>
          <w:sz w:val="22"/>
          <w:szCs w:val="22"/>
        </w:rPr>
        <w:t>E 2022/15</w:t>
      </w:r>
    </w:p>
    <w:p>
      <w:pPr>
        <w:pStyle w:val="Normal"/>
        <w:shd w:val="clear" w:color="auto" w:fill="FFFFFF"/>
        <w:spacing w:lineRule="auto" w:line="240"/>
        <w:jc w:val="right"/>
        <w:rPr>
          <w:highlight w:val="none"/>
          <w:shd w:fill="auto" w:val="clear"/>
        </w:rPr>
      </w:pPr>
      <w:r>
        <w:rPr>
          <w:sz w:val="22"/>
          <w:szCs w:val="22"/>
          <w:shd w:fill="auto" w:val="clear"/>
        </w:rPr>
        <w:t xml:space="preserve">Nolikuma </w:t>
      </w:r>
      <w:r>
        <w:rPr>
          <w:b/>
          <w:sz w:val="22"/>
          <w:szCs w:val="22"/>
          <w:shd w:fill="auto" w:val="clear"/>
        </w:rPr>
        <w:t>8</w:t>
      </w:r>
      <w:r>
        <w:rPr>
          <w:b/>
          <w:bCs/>
          <w:color w:val="000000"/>
          <w:spacing w:val="-1"/>
          <w:sz w:val="22"/>
          <w:szCs w:val="22"/>
          <w:shd w:fill="auto" w:val="clear"/>
        </w:rPr>
        <w:t>. pielikums</w:t>
      </w:r>
    </w:p>
    <w:p>
      <w:pPr>
        <w:pStyle w:val="Normal"/>
        <w:spacing w:lineRule="auto" w:line="240"/>
        <w:jc w:val="right"/>
        <w:rPr>
          <w:b/>
          <w:b/>
        </w:rPr>
      </w:pPr>
      <w:r>
        <w:rPr>
          <w:b/>
        </w:rPr>
        <w:t>PROJEKTS</w:t>
      </w:r>
    </w:p>
    <w:p>
      <w:pPr>
        <w:pStyle w:val="Normal"/>
        <w:spacing w:lineRule="auto" w:line="240" w:before="120" w:after="0"/>
        <w:jc w:val="center"/>
        <w:rPr>
          <w:b/>
          <w:b/>
        </w:rPr>
      </w:pPr>
      <w:r>
        <w:rPr>
          <w:b/>
        </w:rPr>
        <w:t>LĪGUMS Nr. ___________________</w:t>
      </w:r>
    </w:p>
    <w:p>
      <w:pPr>
        <w:pStyle w:val="Normal"/>
        <w:spacing w:lineRule="auto" w:line="240" w:before="120" w:after="0"/>
        <w:rPr/>
      </w:pPr>
      <w:r>
        <w:rPr/>
        <w:t xml:space="preserve">Dobelē,                                                                                  </w:t>
        <w:tab/>
        <w:t xml:space="preserve">              2022. gada ___. _____</w:t>
      </w:r>
    </w:p>
    <w:p>
      <w:pPr>
        <w:pStyle w:val="Normal"/>
        <w:spacing w:lineRule="auto" w:line="240" w:before="120" w:after="0"/>
        <w:ind w:firstLine="720"/>
        <w:jc w:val="both"/>
        <w:rPr>
          <w:b/>
          <w:b/>
        </w:rPr>
      </w:pPr>
      <w:r>
        <w:rPr>
          <w:rFonts w:eastAsia="Times New Roman" w:cs="Times New Roman"/>
          <w:b/>
          <w:bCs/>
          <w:color w:val="auto"/>
          <w:kern w:val="0"/>
          <w:sz w:val="24"/>
          <w:szCs w:val="24"/>
          <w:lang w:val="lv-LV" w:eastAsia="en-US" w:bidi="ar-SA"/>
        </w:rPr>
        <w:t>SIA “Dobeles enerģija”</w:t>
      </w:r>
      <w:r>
        <w:rPr/>
        <w:t xml:space="preserve">, </w:t>
      </w:r>
      <w:r>
        <w:rPr>
          <w:rFonts w:eastAsia="Times New Roman" w:cs="Times New Roman"/>
          <w:color w:val="auto"/>
          <w:kern w:val="0"/>
          <w:sz w:val="24"/>
          <w:szCs w:val="24"/>
          <w:lang w:val="lv-LV" w:eastAsia="en-US" w:bidi="ar-SA"/>
        </w:rPr>
        <w:t>Reģ.nr. 45103002039</w:t>
      </w:r>
      <w:r>
        <w:rPr>
          <w:lang w:eastAsia="et-EE"/>
        </w:rPr>
        <w:t>,</w:t>
      </w:r>
      <w:r>
        <w:rPr/>
        <w:t xml:space="preserve"> turpmāk šai līguma tekstā saukta – </w:t>
      </w:r>
      <w:r>
        <w:rPr>
          <w:b/>
        </w:rPr>
        <w:t>Pasūtītājs</w:t>
      </w:r>
      <w:r>
        <w:rPr/>
        <w:t xml:space="preserve">, tās </w:t>
      </w:r>
      <w:r>
        <w:rPr>
          <w:rFonts w:eastAsia="Times New Roman" w:cs="Times New Roman"/>
          <w:color w:val="auto"/>
          <w:kern w:val="0"/>
          <w:sz w:val="24"/>
          <w:szCs w:val="24"/>
          <w:lang w:val="lv-LV" w:eastAsia="en-US" w:bidi="ar-SA"/>
        </w:rPr>
        <w:t>valdes priekšsēdētāja</w:t>
      </w:r>
      <w:r>
        <w:rPr/>
        <w:t xml:space="preserve"> ____________ personā, kurš rīkojas saskaņā ar </w:t>
      </w:r>
      <w:r>
        <w:rPr>
          <w:rFonts w:eastAsia="Times New Roman" w:cs="Times New Roman"/>
          <w:color w:val="auto"/>
          <w:kern w:val="0"/>
          <w:sz w:val="24"/>
          <w:szCs w:val="24"/>
          <w:lang w:val="lv-LV" w:eastAsia="en-US" w:bidi="ar-SA"/>
        </w:rPr>
        <w:t>statūtiem</w:t>
      </w:r>
      <w:r>
        <w:rPr>
          <w:b/>
        </w:rPr>
        <w:t xml:space="preserve"> un</w:t>
      </w:r>
    </w:p>
    <w:p>
      <w:pPr>
        <w:pStyle w:val="Normal"/>
        <w:spacing w:lineRule="auto" w:line="240" w:before="120" w:after="0"/>
        <w:ind w:firstLine="720"/>
        <w:jc w:val="both"/>
        <w:rPr/>
      </w:pPr>
      <w:r>
        <w:rPr>
          <w:b/>
        </w:rPr>
        <w:t>___________,</w:t>
      </w:r>
      <w:r>
        <w:rPr/>
        <w:t xml:space="preserve"> reģistrācijas Nr.____________, turpmāk līguma tekstā saukts – </w:t>
      </w:r>
      <w:r>
        <w:rPr>
          <w:b/>
        </w:rPr>
        <w:t>Izpildītājs</w:t>
      </w:r>
      <w:r>
        <w:rPr/>
        <w:t xml:space="preserve">, tās </w:t>
      </w:r>
      <w:r>
        <w:rPr>
          <w:color w:val="000000"/>
          <w:lang w:val="et-EE" w:eastAsia="et-EE"/>
        </w:rPr>
        <w:t>_____ personā</w:t>
      </w:r>
      <w:r>
        <w:rPr/>
        <w:t xml:space="preserve">, kurš rīkojas saskaņā ar __________, no otras puses, </w:t>
      </w:r>
    </w:p>
    <w:p>
      <w:pPr>
        <w:pStyle w:val="Normal"/>
        <w:spacing w:lineRule="auto" w:line="240"/>
        <w:ind w:right="57" w:hanging="0"/>
        <w:jc w:val="both"/>
        <w:rPr>
          <w:sz w:val="22"/>
          <w:szCs w:val="22"/>
        </w:rPr>
      </w:pPr>
      <w:r>
        <w:rPr>
          <w:sz w:val="22"/>
          <w:szCs w:val="22"/>
        </w:rPr>
        <w:t xml:space="preserve">abi kopā un katrs atsevišķi - Puses un Puse, saskaņā ar </w:t>
      </w:r>
      <w:r>
        <w:rPr>
          <w:rFonts w:eastAsia="Times New Roman" w:cs="Times New Roman"/>
          <w:color w:val="auto"/>
          <w:kern w:val="0"/>
          <w:sz w:val="24"/>
          <w:szCs w:val="24"/>
          <w:lang w:val="lv-LV" w:eastAsia="en-US" w:bidi="ar-SA"/>
        </w:rPr>
        <w:t>SIA “Dobeles enerģija”</w:t>
      </w:r>
      <w:r>
        <w:rPr>
          <w:sz w:val="22"/>
          <w:szCs w:val="22"/>
        </w:rPr>
        <w:t xml:space="preserve"> Iepirkumu komisijas 2022. gada ____ lēmumu iepirkumā </w:t>
      </w:r>
      <w:r>
        <w:rPr>
          <w:b/>
          <w:bCs/>
          <w:i w:val="false"/>
          <w:iCs w:val="false"/>
          <w:sz w:val="22"/>
          <w:szCs w:val="22"/>
        </w:rPr>
        <w:t>“</w:t>
      </w:r>
      <w:r>
        <w:rPr>
          <w:rFonts w:cs="Times New Roman"/>
          <w:b/>
          <w:bCs/>
          <w:i w:val="false"/>
          <w:iCs w:val="false"/>
          <w:sz w:val="24"/>
          <w:szCs w:val="24"/>
        </w:rPr>
        <w:t>Būvprojekta izstrāde un autoruzraudzības nodrošināšana siltumtrases Viestura iela – Dzirnavu iela savienojošā posma izbūvei</w:t>
      </w:r>
      <w:r>
        <w:rPr>
          <w:b/>
          <w:bCs/>
          <w:i w:val="false"/>
          <w:iCs w:val="false"/>
          <w:sz w:val="22"/>
          <w:szCs w:val="22"/>
        </w:rPr>
        <w:t>”</w:t>
      </w:r>
      <w:r>
        <w:rPr>
          <w:sz w:val="22"/>
          <w:szCs w:val="22"/>
        </w:rPr>
        <w:t xml:space="preserve"> </w:t>
      </w:r>
      <w:r>
        <w:rPr>
          <w:color w:val="000000"/>
          <w:sz w:val="22"/>
          <w:szCs w:val="22"/>
        </w:rPr>
        <w:t xml:space="preserve">iepirkuma identifikācijas numurs </w:t>
      </w:r>
      <w:r>
        <w:rPr>
          <w:rFonts w:eastAsia="Times New Roman" w:cs="Times New Roman"/>
          <w:color w:val="000000"/>
          <w:kern w:val="0"/>
          <w:sz w:val="24"/>
          <w:szCs w:val="24"/>
          <w:lang w:val="lv-LV" w:eastAsia="en-US" w:bidi="ar-SA"/>
        </w:rPr>
        <w:t>DE</w:t>
      </w:r>
      <w:r>
        <w:rPr>
          <w:color w:val="000000"/>
          <w:sz w:val="22"/>
          <w:szCs w:val="22"/>
        </w:rPr>
        <w:t xml:space="preserve"> 2022/</w:t>
      </w:r>
      <w:r>
        <w:rPr>
          <w:rFonts w:eastAsia="Times New Roman" w:cs="Times New Roman"/>
          <w:color w:val="000000"/>
          <w:kern w:val="0"/>
          <w:sz w:val="24"/>
          <w:szCs w:val="24"/>
          <w:lang w:val="lv-LV" w:eastAsia="en-US" w:bidi="ar-SA"/>
        </w:rPr>
        <w:t>15</w:t>
      </w:r>
      <w:r>
        <w:rPr>
          <w:color w:val="000000"/>
          <w:sz w:val="22"/>
          <w:szCs w:val="22"/>
        </w:rPr>
        <w:t>,</w:t>
      </w:r>
      <w:r>
        <w:rPr>
          <w:i/>
          <w:color w:val="000000"/>
          <w:sz w:val="22"/>
          <w:szCs w:val="22"/>
        </w:rPr>
        <w:t xml:space="preserve"> </w:t>
      </w:r>
      <w:r>
        <w:rPr>
          <w:sz w:val="22"/>
          <w:szCs w:val="22"/>
        </w:rPr>
        <w:t>(protokols Nr. _______), noslēdz šo līgumu, turpmāk šai līguma tekstā saukts – Līgums, par sekojošo:</w:t>
      </w:r>
    </w:p>
    <w:p>
      <w:pPr>
        <w:pStyle w:val="Normal"/>
        <w:spacing w:lineRule="auto" w:line="240"/>
        <w:ind w:firstLine="567"/>
        <w:jc w:val="both"/>
        <w:rPr/>
      </w:pPr>
      <w:r>
        <w:rPr/>
      </w:r>
    </w:p>
    <w:p>
      <w:pPr>
        <w:pStyle w:val="Normal"/>
        <w:widowControl w:val="false"/>
        <w:numPr>
          <w:ilvl w:val="0"/>
          <w:numId w:val="0"/>
        </w:numPr>
        <w:tabs>
          <w:tab w:val="clear" w:pos="720"/>
          <w:tab w:val="left" w:pos="993" w:leader="none"/>
        </w:tabs>
        <w:overflowPunct w:val="true"/>
        <w:spacing w:lineRule="auto" w:line="240"/>
        <w:ind w:left="851" w:hanging="0"/>
        <w:jc w:val="center"/>
        <w:rPr>
          <w:b/>
          <w:b/>
          <w:bCs/>
        </w:rPr>
      </w:pPr>
      <w:r>
        <w:rPr>
          <w:b/>
          <w:bCs/>
        </w:rPr>
        <w:t>1. LĪGUMA PRIEKŠMETS</w:t>
      </w:r>
    </w:p>
    <w:p>
      <w:pPr>
        <w:pStyle w:val="Normal"/>
        <w:numPr>
          <w:ilvl w:val="1"/>
          <w:numId w:val="1"/>
        </w:numPr>
        <w:tabs>
          <w:tab w:val="clear" w:pos="720"/>
          <w:tab w:val="left" w:pos="567" w:leader="none"/>
        </w:tabs>
        <w:spacing w:lineRule="auto" w:line="240" w:before="0" w:after="0"/>
        <w:ind w:left="0" w:hanging="0"/>
        <w:contextualSpacing/>
        <w:jc w:val="both"/>
        <w:rPr>
          <w:rFonts w:eastAsia="Calibri"/>
        </w:rPr>
      </w:pPr>
      <w:r>
        <w:rPr>
          <w:rFonts w:eastAsia="Calibri"/>
        </w:rPr>
        <w:t xml:space="preserve">Pasūtītājs uzdod, bet Izpildītājs par nolīgto samaksu </w:t>
      </w:r>
      <w:r>
        <w:rPr>
          <w:rFonts w:eastAsia="Calibri"/>
          <w:b/>
        </w:rPr>
        <w:t xml:space="preserve">apņemas veikt </w:t>
      </w:r>
      <w:r>
        <w:rPr>
          <w:b/>
          <w:color w:val="000000"/>
        </w:rPr>
        <w:t xml:space="preserve">būvprojekta </w:t>
      </w:r>
      <w:r>
        <w:rPr>
          <w:rFonts w:cs="Times New Roman"/>
          <w:b/>
          <w:color w:val="000000"/>
        </w:rPr>
        <w:t>“</w:t>
      </w:r>
      <w:r>
        <w:rPr>
          <w:rFonts w:eastAsia="Times New Roman" w:cs="Times New Roman"/>
          <w:b/>
          <w:color w:val="000000"/>
          <w:kern w:val="0"/>
          <w:lang w:val="lv-LV" w:bidi="ar-SA"/>
        </w:rPr>
        <w:t>Siltumtrases savienojošais posms starp Viestura ielu un Dzirnavu ielu Dobelē, Dobeles novadā</w:t>
      </w:r>
      <w:r>
        <w:rPr>
          <w:rFonts w:cs="Times New Roman"/>
          <w:b/>
          <w:color w:val="000000"/>
        </w:rPr>
        <w:t>”</w:t>
      </w:r>
      <w:r>
        <w:rPr/>
        <w:t xml:space="preserve"> </w:t>
      </w:r>
      <w:r>
        <w:rPr>
          <w:rFonts w:eastAsia="Calibri"/>
          <w:b/>
        </w:rPr>
        <w:t>autoruzraudzību</w:t>
      </w:r>
      <w:r>
        <w:rPr>
          <w:rFonts w:eastAsia="Calibri"/>
        </w:rPr>
        <w:t>, turpmāk tekstā – Autoruzraudzība.</w:t>
      </w:r>
    </w:p>
    <w:p>
      <w:pPr>
        <w:pStyle w:val="Normal"/>
        <w:numPr>
          <w:ilvl w:val="1"/>
          <w:numId w:val="1"/>
        </w:numPr>
        <w:tabs>
          <w:tab w:val="clear" w:pos="720"/>
        </w:tabs>
        <w:spacing w:lineRule="auto" w:line="240" w:before="0" w:after="200"/>
        <w:ind w:left="0" w:hanging="0"/>
        <w:contextualSpacing/>
        <w:jc w:val="both"/>
        <w:rPr>
          <w:rFonts w:eastAsia="Calibri"/>
        </w:rPr>
      </w:pPr>
      <w:r>
        <w:rPr>
          <w:rFonts w:eastAsia="Calibri"/>
        </w:rPr>
        <w:t xml:space="preserve">Izpildītājs Autoruzraudzību veic </w:t>
      </w:r>
      <w:r>
        <w:rPr>
          <w:rFonts w:eastAsia="Calibri"/>
          <w:b w:val="false"/>
          <w:bCs w:val="false"/>
        </w:rPr>
        <w:t>s</w:t>
      </w:r>
      <w:r>
        <w:rPr>
          <w:rFonts w:eastAsia="Times New Roman" w:cs="Times New Roman"/>
          <w:b w:val="false"/>
          <w:bCs w:val="false"/>
          <w:color w:val="000000"/>
          <w:kern w:val="0"/>
          <w:lang w:val="lv-LV" w:bidi="ar-SA"/>
        </w:rPr>
        <w:t>iltumtrases savienojošajā posmā starp Viestura ielu un Dzirnavu ielu Dobelē, Dobeles novadā</w:t>
      </w:r>
      <w:r>
        <w:rPr>
          <w:rFonts w:eastAsia="Calibri"/>
          <w:b w:val="false"/>
          <w:bCs w:val="false"/>
        </w:rPr>
        <w:t xml:space="preserve"> </w:t>
      </w:r>
      <w:r>
        <w:rPr>
          <w:rFonts w:eastAsia="Calibri"/>
        </w:rPr>
        <w:t>turpmāk tekstā – Objekts.</w:t>
      </w:r>
    </w:p>
    <w:p>
      <w:pPr>
        <w:pStyle w:val="Normal"/>
        <w:numPr>
          <w:ilvl w:val="1"/>
          <w:numId w:val="1"/>
        </w:numPr>
        <w:tabs>
          <w:tab w:val="clear" w:pos="720"/>
          <w:tab w:val="left" w:pos="567" w:leader="none"/>
        </w:tabs>
        <w:spacing w:lineRule="auto" w:line="240" w:before="0" w:after="200"/>
        <w:ind w:left="0" w:hanging="0"/>
        <w:contextualSpacing/>
        <w:jc w:val="both"/>
        <w:rPr/>
      </w:pPr>
      <w:r>
        <w:rPr>
          <w:rFonts w:eastAsia="Calibri"/>
        </w:rPr>
        <w:t xml:space="preserve">Izpildītājs veic Autoruzraudzību atbilstoši </w:t>
      </w:r>
      <w:r>
        <w:rPr>
          <w:color w:val="000000"/>
        </w:rPr>
        <w:t xml:space="preserve">spēkā esošajiem normatīvajiem aktiem, Latvijas būvnormatīviem, Latvijas valsts standartiem, tehniskajai specifikācijai (__. pielikums), finanšu piedāvājumam (__. pielikums). </w:t>
      </w:r>
      <w:r>
        <w:rPr>
          <w:rFonts w:eastAsia="Calibri"/>
          <w:color w:val="000000"/>
        </w:rPr>
        <w:t>Visi pielikumi ir neatņemama šī Līguma sastāvdaļa</w:t>
      </w:r>
      <w:r>
        <w:rPr>
          <w:rFonts w:eastAsia="Calibri"/>
        </w:rPr>
        <w:t>.</w:t>
      </w:r>
    </w:p>
    <w:p>
      <w:pPr>
        <w:pStyle w:val="Normal"/>
        <w:numPr>
          <w:ilvl w:val="0"/>
          <w:numId w:val="0"/>
        </w:numPr>
        <w:tabs>
          <w:tab w:val="clear" w:pos="720"/>
          <w:tab w:val="left" w:pos="567" w:leader="none"/>
        </w:tabs>
        <w:spacing w:lineRule="auto" w:line="240" w:before="0" w:after="200"/>
        <w:ind w:left="851" w:hanging="0"/>
        <w:contextualSpacing/>
        <w:jc w:val="both"/>
        <w:rPr>
          <w:rFonts w:eastAsia="Calibri"/>
        </w:rPr>
      </w:pPr>
      <w:r>
        <w:rPr>
          <w:rFonts w:eastAsia="Calibri"/>
        </w:rPr>
      </w:r>
      <w:bookmarkStart w:id="0" w:name="OLE_LINK1"/>
      <w:bookmarkStart w:id="1" w:name="OLE_LINK2"/>
      <w:bookmarkStart w:id="2" w:name="OLE_LINK1"/>
      <w:bookmarkStart w:id="3" w:name="OLE_LINK2"/>
      <w:bookmarkEnd w:id="2"/>
      <w:bookmarkEnd w:id="3"/>
    </w:p>
    <w:p>
      <w:pPr>
        <w:pStyle w:val="Normal"/>
        <w:numPr>
          <w:ilvl w:val="0"/>
          <w:numId w:val="2"/>
        </w:numPr>
        <w:spacing w:lineRule="auto" w:line="240" w:before="0" w:after="160"/>
        <w:ind w:left="0" w:hanging="360"/>
        <w:contextualSpacing/>
        <w:jc w:val="center"/>
        <w:rPr>
          <w:b/>
          <w:b/>
          <w:lang w:eastAsia="lv-LV"/>
        </w:rPr>
      </w:pPr>
      <w:r>
        <w:rPr>
          <w:b/>
          <w:lang w:eastAsia="lv-LV"/>
        </w:rPr>
        <w:t>LĪGUMA DARBĪBAS TERMIŅŠ</w:t>
      </w:r>
    </w:p>
    <w:p>
      <w:pPr>
        <w:pStyle w:val="Normal"/>
        <w:numPr>
          <w:ilvl w:val="1"/>
          <w:numId w:val="2"/>
        </w:numPr>
        <w:spacing w:lineRule="auto" w:line="240" w:before="0" w:after="160"/>
        <w:ind w:left="0" w:hanging="0"/>
        <w:contextualSpacing/>
        <w:jc w:val="both"/>
        <w:rPr>
          <w:lang w:eastAsia="lv-LV"/>
        </w:rPr>
      </w:pPr>
      <w:r>
        <w:rPr>
          <w:lang w:eastAsia="lv-LV"/>
        </w:rPr>
        <w:t xml:space="preserve"> </w:t>
      </w:r>
      <w:r>
        <w:rPr>
          <w:lang w:eastAsia="lv-LV"/>
        </w:rPr>
        <w:t xml:space="preserve">Izpildītājs uzsāk Autoruzraudzību ar dienu, kad tiek uzsākta būvniecība. </w:t>
      </w:r>
    </w:p>
    <w:p>
      <w:pPr>
        <w:pStyle w:val="Normal"/>
        <w:numPr>
          <w:ilvl w:val="1"/>
          <w:numId w:val="2"/>
        </w:numPr>
        <w:overflowPunct w:val="true"/>
        <w:spacing w:lineRule="auto" w:line="240" w:before="0" w:after="200"/>
        <w:ind w:left="0" w:hanging="0"/>
        <w:contextualSpacing/>
        <w:jc w:val="both"/>
        <w:textAlignment w:val="baseline"/>
        <w:rPr>
          <w:rFonts w:eastAsia="Calibri"/>
          <w:color w:val="000000"/>
          <w:lang w:eastAsia="lv-LV"/>
        </w:rPr>
      </w:pPr>
      <w:r>
        <w:rPr>
          <w:rFonts w:eastAsia="Calibri"/>
        </w:rPr>
        <w:t xml:space="preserve"> </w:t>
      </w:r>
      <w:r>
        <w:rPr>
          <w:rFonts w:eastAsia="Calibri"/>
        </w:rPr>
        <w:t xml:space="preserve">Izpildītājam ir pienākums veikt Autoruzraudzību līdz Objekta būvniecības pabeigšanai un Objekta pieņemšanai ekspluatācijā. Plānotais Objekta būvniecības pabeigšanas termiņš ir </w:t>
      </w:r>
      <w:r>
        <w:rPr>
          <w:rFonts w:eastAsia="Calibri"/>
          <w:color w:val="000000"/>
        </w:rPr>
        <w:t>________no Līguma parakstīšanas dienas saskaņā ar būvdarbu izpildes grafiku, atbilstoši 202__.gada __.____ noslēgtajam būvdarbu līgumam Nr._____, turpmāk tekstā – Būvdarbu līgums.</w:t>
      </w:r>
    </w:p>
    <w:p>
      <w:pPr>
        <w:pStyle w:val="Normal"/>
        <w:numPr>
          <w:ilvl w:val="1"/>
          <w:numId w:val="2"/>
        </w:numPr>
        <w:overflowPunct w:val="true"/>
        <w:spacing w:lineRule="auto" w:line="240" w:before="0" w:after="200"/>
        <w:ind w:left="0" w:hanging="0"/>
        <w:contextualSpacing/>
        <w:jc w:val="both"/>
        <w:textAlignment w:val="baseline"/>
        <w:rPr>
          <w:rFonts w:eastAsia="Calibri"/>
          <w:lang w:eastAsia="lv-LV"/>
        </w:rPr>
      </w:pPr>
      <w:r>
        <w:rPr>
          <w:rFonts w:eastAsia="Calibri"/>
          <w:lang w:eastAsia="lv-LV"/>
        </w:rPr>
        <w:t>Ar Līgumu saistītie un jebkurā formā Izpildītāja sagatavotie un Pasūtītājam iesniegtie materiāli pieder Pasūtītājam un ir tā īpašums. Izpildītājam nav tiesību jebkurā veidā ierobežot Pasūtītāja tiesības brīvi un pēc saviem ieskatiem rīkoties ar tiem.</w:t>
      </w:r>
    </w:p>
    <w:p>
      <w:pPr>
        <w:pStyle w:val="Normal"/>
        <w:spacing w:lineRule="auto" w:line="240"/>
        <w:rPr>
          <w:rFonts w:eastAsia="Calibri"/>
        </w:rPr>
      </w:pPr>
      <w:r>
        <w:rPr>
          <w:rFonts w:eastAsia="Calibri"/>
        </w:rPr>
      </w:r>
    </w:p>
    <w:p>
      <w:pPr>
        <w:pStyle w:val="Normal"/>
        <w:numPr>
          <w:ilvl w:val="0"/>
          <w:numId w:val="2"/>
        </w:numPr>
        <w:spacing w:lineRule="auto" w:line="240" w:before="0" w:after="200"/>
        <w:ind w:left="0" w:right="-766" w:hanging="360"/>
        <w:contextualSpacing/>
        <w:jc w:val="center"/>
        <w:rPr>
          <w:b/>
          <w:b/>
          <w:lang w:eastAsia="lv-LV"/>
        </w:rPr>
      </w:pPr>
      <w:r>
        <w:rPr>
          <w:b/>
          <w:lang w:eastAsia="lv-LV"/>
        </w:rPr>
        <w:t>SAMAKSAS NOTEIKUMI</w:t>
      </w:r>
    </w:p>
    <w:p>
      <w:pPr>
        <w:pStyle w:val="Normal"/>
        <w:widowControl w:val="false"/>
        <w:numPr>
          <w:ilvl w:val="1"/>
          <w:numId w:val="2"/>
        </w:numPr>
        <w:overflowPunct w:val="true"/>
        <w:spacing w:lineRule="auto" w:line="240"/>
        <w:ind w:left="0" w:hanging="0"/>
        <w:jc w:val="both"/>
        <w:rPr>
          <w:rFonts w:eastAsia="Calibri"/>
          <w:color w:val="FF0000"/>
        </w:rPr>
      </w:pPr>
      <w:r>
        <w:rPr>
          <w:rFonts w:eastAsia="Calibri"/>
        </w:rPr>
        <w:t>Par Autoruzraudzības veikšanu Pasūtītājs samaksā Izpildītājam līgumcenu ____ EUR (____</w:t>
      </w:r>
      <w:r>
        <w:rPr>
          <w:rFonts w:eastAsia="Calibri"/>
          <w:i/>
        </w:rPr>
        <w:t>euro</w:t>
      </w:r>
      <w:r>
        <w:rPr>
          <w:rFonts w:eastAsia="Calibri"/>
        </w:rPr>
        <w:t xml:space="preserve"> ____ centi) – (turpmāk tekstā – Līgumcena) un PVN 21 % - EUR ____(_____ </w:t>
      </w:r>
      <w:r>
        <w:rPr>
          <w:rFonts w:eastAsia="Calibri"/>
          <w:i/>
        </w:rPr>
        <w:t>euro</w:t>
      </w:r>
      <w:r>
        <w:rPr>
          <w:rFonts w:eastAsia="Calibri"/>
        </w:rPr>
        <w:t xml:space="preserve"> ___ centi), kopā </w:t>
      </w:r>
      <w:r>
        <w:rPr>
          <w:rFonts w:eastAsia="Calibri"/>
          <w:b/>
        </w:rPr>
        <w:t xml:space="preserve">EUR ____(____ </w:t>
      </w:r>
      <w:r>
        <w:rPr>
          <w:rFonts w:eastAsia="Calibri"/>
          <w:b/>
          <w:i/>
        </w:rPr>
        <w:t>euro</w:t>
      </w:r>
      <w:r>
        <w:rPr>
          <w:rFonts w:eastAsia="Calibri"/>
          <w:b/>
        </w:rPr>
        <w:t xml:space="preserve"> ___ centi)</w:t>
      </w:r>
      <w:r>
        <w:rPr>
          <w:rFonts w:eastAsia="Calibri"/>
        </w:rPr>
        <w:t>, turpmāk tekstā – Līguma summa.</w:t>
      </w:r>
      <w:r>
        <w:rPr>
          <w:rFonts w:eastAsia="Calibri"/>
          <w:color w:val="FF0000"/>
        </w:rPr>
        <w:t xml:space="preserve"> </w:t>
      </w:r>
    </w:p>
    <w:p>
      <w:pPr>
        <w:pStyle w:val="Normal"/>
        <w:widowControl w:val="false"/>
        <w:numPr>
          <w:ilvl w:val="1"/>
          <w:numId w:val="2"/>
        </w:numPr>
        <w:overflowPunct w:val="true"/>
        <w:spacing w:lineRule="auto" w:line="240"/>
        <w:ind w:left="0" w:hanging="0"/>
        <w:jc w:val="both"/>
        <w:rPr>
          <w:rFonts w:eastAsia="Calibri"/>
        </w:rPr>
      </w:pPr>
      <w:r>
        <w:rPr>
          <w:rFonts w:eastAsia="Calibri"/>
        </w:rPr>
        <w:t>Līgumcenā ir iekļautas visas pakalpojuma izmaksas, kas saistītas ar Autoruzraudzības pilnīgu un kvalitatīvu izpildi, tajā skaitā ar speciālistu darba apmaksu, nodokļiem, nodevām.</w:t>
      </w:r>
    </w:p>
    <w:p>
      <w:pPr>
        <w:pStyle w:val="Normal"/>
        <w:widowControl w:val="false"/>
        <w:numPr>
          <w:ilvl w:val="1"/>
          <w:numId w:val="2"/>
        </w:numPr>
        <w:overflowPunct w:val="true"/>
        <w:spacing w:lineRule="auto" w:line="240"/>
        <w:ind w:left="0" w:hanging="0"/>
        <w:jc w:val="both"/>
        <w:rPr>
          <w:rFonts w:eastAsia="Calibri"/>
        </w:rPr>
      </w:pPr>
      <w:r>
        <w:rPr>
          <w:rFonts w:eastAsia="Calibri"/>
        </w:rPr>
        <w:t>Līgumcena var tikt grozīta Pusēm savstarpēji rakstiski vienojoties, ja L</w:t>
      </w:r>
      <w:r>
        <w:rPr/>
        <w:t>īguma darbības laikā Latvijas Republikā tiek noteikti jauni nodokļi vai izmainīti esošie (izņemot uzņēmuma ienākuma nodokli), kas attiecas uz Autoruzraudzību.</w:t>
      </w:r>
    </w:p>
    <w:p>
      <w:pPr>
        <w:pStyle w:val="ListParagraph"/>
        <w:numPr>
          <w:ilvl w:val="1"/>
          <w:numId w:val="2"/>
        </w:numPr>
        <w:spacing w:lineRule="auto" w:line="240"/>
        <w:ind w:left="0" w:hanging="0"/>
        <w:jc w:val="both"/>
        <w:rPr>
          <w:rFonts w:ascii="Times New Roman" w:hAnsi="Times New Roman" w:eastAsia="Calibri" w:cs="Times New Roman"/>
          <w:b/>
          <w:b/>
          <w:caps/>
        </w:rPr>
      </w:pPr>
      <w:r>
        <w:rPr>
          <w:rFonts w:eastAsia="Calibri" w:cs="Times New Roman" w:ascii="Times New Roman" w:hAnsi="Times New Roman"/>
        </w:rPr>
        <w:t xml:space="preserve">Pasūtītājam Izpildītāja iesniegtie pieņemšanas - nodošanas akti ir jāparaksta 5 (piecu) darba dienu laikā pēc pieņemšanas – nodošanas aktu saņemšanas vai šajā termiņā Izpildītājam jāiesniedz motivēts atteikums. Ja motivēts atteikums nav iesniegts, uzskatāms, ka Pasūtītājs ir pieņēmis Autoruzraudzību. </w:t>
      </w:r>
    </w:p>
    <w:p>
      <w:pPr>
        <w:pStyle w:val="Normal"/>
        <w:numPr>
          <w:ilvl w:val="1"/>
          <w:numId w:val="2"/>
        </w:numPr>
        <w:suppressAutoHyphens w:val="true"/>
        <w:spacing w:lineRule="auto" w:line="240"/>
        <w:ind w:left="0" w:hanging="0"/>
        <w:jc w:val="both"/>
        <w:rPr>
          <w:rFonts w:eastAsia="Calibri"/>
          <w:b/>
          <w:b/>
          <w:caps/>
        </w:rPr>
      </w:pPr>
      <w:r>
        <w:rPr>
          <w:rFonts w:eastAsia="Calibri"/>
        </w:rPr>
        <w:t>Izpildītājs katru mēnesi iesniedz atskaiti par iepriekšējā kalendārā mēnesī veikto Autoruzraudzību atbilstoši uzraudzītajiem darbiem.</w:t>
      </w:r>
      <w:r>
        <w:rPr>
          <w:rFonts w:eastAsia="Calibri"/>
          <w:b/>
          <w:caps/>
        </w:rPr>
        <w:t xml:space="preserve"> </w:t>
      </w:r>
      <w:r>
        <w:rPr>
          <w:rFonts w:eastAsia="Calibri"/>
        </w:rPr>
        <w:t>Pasūtītājs veic apmaksu ____ (____) darba dienu laikā pēc attiecīga rēķina no Izpildītāja saņemšanas uz rēķinā norādīto Izpildītāja bankas norēķinu kontu.</w:t>
      </w:r>
    </w:p>
    <w:p>
      <w:pPr>
        <w:pStyle w:val="Normal"/>
        <w:numPr>
          <w:ilvl w:val="1"/>
          <w:numId w:val="2"/>
        </w:numPr>
        <w:suppressAutoHyphens w:val="true"/>
        <w:spacing w:lineRule="auto" w:line="240"/>
        <w:ind w:left="0" w:hanging="0"/>
        <w:jc w:val="both"/>
        <w:rPr>
          <w:rFonts w:eastAsia="Calibri"/>
          <w:b/>
          <w:b/>
          <w:caps/>
        </w:rPr>
      </w:pPr>
      <w:r>
        <w:rPr>
          <w:rFonts w:eastAsia="Calibri"/>
        </w:rPr>
        <w:t>Pēc pilnīgas Auto</w:t>
      </w:r>
      <w:bookmarkStart w:id="4" w:name="_GoBack"/>
      <w:bookmarkEnd w:id="4"/>
      <w:r>
        <w:rPr>
          <w:rFonts w:eastAsia="Calibri"/>
        </w:rPr>
        <w:t>ruzraudzības veikšanas Puses paraksta pieņemšana-nodošanas aktu, kas kļūst par Līguma neatņemamu sastāvdaļu.</w:t>
      </w:r>
    </w:p>
    <w:p>
      <w:pPr>
        <w:pStyle w:val="Normal"/>
        <w:numPr>
          <w:ilvl w:val="1"/>
          <w:numId w:val="2"/>
        </w:numPr>
        <w:suppressAutoHyphens w:val="true"/>
        <w:spacing w:lineRule="auto" w:line="240"/>
        <w:ind w:left="0" w:hanging="0"/>
        <w:jc w:val="both"/>
        <w:rPr>
          <w:rFonts w:eastAsia="Calibri"/>
          <w:b/>
          <w:b/>
          <w:caps/>
        </w:rPr>
      </w:pPr>
      <w:r>
        <w:rPr>
          <w:rFonts w:eastAsia="Calibri"/>
        </w:rPr>
        <w:t xml:space="preserve">Beidzamais maksājums pēc pilnīgas Autoruzraudzības veikšanas tiek </w:t>
      </w:r>
      <w:r>
        <w:rPr>
          <w:rFonts w:eastAsia="Calibri"/>
          <w:color w:val="000000"/>
        </w:rPr>
        <w:t>samaksāts ___ (____________) darba dienu lai</w:t>
      </w:r>
      <w:r>
        <w:rPr>
          <w:rFonts w:eastAsia="Calibri"/>
        </w:rPr>
        <w:t>kā pēc pieņemšanas – nodošanas akta parakstīšanas un atbilstoša Izpildītāja rēķina saņemšanas ar pārskaitījumu uz rēķinā norādīto Izpildītāja bankas norēķinu kontu. Par samaksas dienu tiek uzskatīta diena, kad Pasūtītājs veicis Līgumā noteiktās naudas summas pārskaitījumu Izpildītāja norēķinu kontā.</w:t>
      </w:r>
    </w:p>
    <w:p>
      <w:pPr>
        <w:pStyle w:val="Normal"/>
        <w:widowControl w:val="false"/>
        <w:numPr>
          <w:ilvl w:val="1"/>
          <w:numId w:val="2"/>
        </w:numPr>
        <w:overflowPunct w:val="true"/>
        <w:spacing w:lineRule="auto" w:line="240"/>
        <w:ind w:left="0" w:hanging="0"/>
        <w:jc w:val="both"/>
        <w:rPr>
          <w:rFonts w:eastAsia="Calibri"/>
        </w:rPr>
      </w:pPr>
      <w:r>
        <w:rPr>
          <w:rFonts w:eastAsia="Calibri"/>
          <w:bCs/>
        </w:rPr>
        <w:t>Ja Būvdarbu līgumā noteikto darbu izpilde tiek pārtraukta no Izpildītāja neatkarīgu iemeslu dēļ, tad Puses sastāda aktu par faktiski kvalitatīvi sniegto Autoruzraudzību, fiksējot tajā Izpildītāja kvalitatīvi sniegtās Autoruzraudzības apjomu. Pasūtītājs ___ (___) dienu laikā no akta parakstīšanas un atbilstoša rēķina saņemšanas, samaksā Izpildītājam par faktiski kvalitatīvi sniegto Autoruzraudzību saskaņā ar Pušu parakstīto aktu.</w:t>
      </w:r>
    </w:p>
    <w:p>
      <w:pPr>
        <w:pStyle w:val="Normal"/>
        <w:widowControl w:val="false"/>
        <w:overflowPunct w:val="true"/>
        <w:spacing w:lineRule="auto" w:line="240"/>
        <w:jc w:val="both"/>
        <w:rPr>
          <w:rFonts w:eastAsia="Calibri"/>
        </w:rPr>
      </w:pPr>
      <w:r>
        <w:rPr>
          <w:rFonts w:eastAsia="Calibri"/>
        </w:rPr>
      </w:r>
    </w:p>
    <w:p>
      <w:pPr>
        <w:pStyle w:val="Normal"/>
        <w:numPr>
          <w:ilvl w:val="0"/>
          <w:numId w:val="2"/>
        </w:numPr>
        <w:spacing w:lineRule="auto" w:line="240" w:before="0" w:after="160"/>
        <w:ind w:left="0" w:right="-766" w:hanging="360"/>
        <w:contextualSpacing/>
        <w:jc w:val="center"/>
        <w:rPr>
          <w:b/>
          <w:b/>
          <w:lang w:eastAsia="lv-LV"/>
        </w:rPr>
      </w:pPr>
      <w:r>
        <w:rPr>
          <w:b/>
          <w:lang w:eastAsia="lv-LV"/>
        </w:rPr>
        <w:t>PUŠU TIESĪBAS UN PIENĀKUMI</w:t>
      </w:r>
    </w:p>
    <w:p>
      <w:pPr>
        <w:pStyle w:val="Normal"/>
        <w:numPr>
          <w:ilvl w:val="1"/>
          <w:numId w:val="2"/>
        </w:numPr>
        <w:spacing w:lineRule="auto" w:line="240" w:before="0" w:after="200"/>
        <w:ind w:left="0" w:hanging="0"/>
        <w:contextualSpacing/>
        <w:jc w:val="both"/>
        <w:rPr>
          <w:lang w:eastAsia="lv-LV"/>
        </w:rPr>
      </w:pPr>
      <w:r>
        <w:rPr>
          <w:lang w:eastAsia="lv-LV"/>
        </w:rPr>
        <w:t>Pasūtītājam ir tiesības visā Līguma darbības laikā veikt Līguma izpildes kontroles pasākumus, tai skaitā pieprasīt no Izpildītāja visu nepieciešamo informāciju par veikto Autoruzraudzību.</w:t>
      </w:r>
    </w:p>
    <w:p>
      <w:pPr>
        <w:pStyle w:val="Normal"/>
        <w:numPr>
          <w:ilvl w:val="1"/>
          <w:numId w:val="2"/>
        </w:numPr>
        <w:spacing w:lineRule="auto" w:line="240" w:before="0" w:after="200"/>
        <w:ind w:left="0" w:hanging="0"/>
        <w:contextualSpacing/>
        <w:jc w:val="both"/>
        <w:rPr>
          <w:lang w:eastAsia="lv-LV"/>
        </w:rPr>
      </w:pPr>
      <w:r>
        <w:rPr>
          <w:lang w:eastAsia="lv-LV"/>
        </w:rPr>
        <w:t>Pasūtītājs apņemas:</w:t>
      </w:r>
    </w:p>
    <w:p>
      <w:pPr>
        <w:pStyle w:val="Normal"/>
        <w:numPr>
          <w:ilvl w:val="2"/>
          <w:numId w:val="2"/>
        </w:numPr>
        <w:tabs>
          <w:tab w:val="clear" w:pos="720"/>
          <w:tab w:val="left" w:pos="1134" w:leader="none"/>
        </w:tabs>
        <w:spacing w:lineRule="auto" w:line="240" w:before="0" w:after="200"/>
        <w:ind w:left="426" w:hanging="0"/>
        <w:contextualSpacing/>
        <w:jc w:val="both"/>
        <w:rPr>
          <w:rFonts w:eastAsia="Calibri"/>
          <w:b/>
          <w:b/>
        </w:rPr>
      </w:pPr>
      <w:r>
        <w:rPr>
          <w:rFonts w:eastAsia="Calibri"/>
        </w:rPr>
        <w:t>samaksāt Izpildītājam par kvalitatīvi veiktu Autoruzraudzību Līgumā noteiktajā kārtībā;</w:t>
      </w:r>
    </w:p>
    <w:p>
      <w:pPr>
        <w:pStyle w:val="Normal"/>
        <w:numPr>
          <w:ilvl w:val="2"/>
          <w:numId w:val="2"/>
        </w:numPr>
        <w:tabs>
          <w:tab w:val="clear" w:pos="720"/>
          <w:tab w:val="left" w:pos="1134" w:leader="none"/>
        </w:tabs>
        <w:spacing w:lineRule="auto" w:line="240" w:before="0" w:after="200"/>
        <w:ind w:left="426" w:hanging="0"/>
        <w:contextualSpacing/>
        <w:jc w:val="both"/>
        <w:rPr>
          <w:rFonts w:eastAsia="Calibri"/>
          <w:b/>
          <w:b/>
        </w:rPr>
      </w:pPr>
      <w:r>
        <w:rPr>
          <w:rFonts w:eastAsia="Calibri"/>
        </w:rPr>
        <w:t>tikties ar Izpildītāju jautājumu, kas saistīti ar Autoruzraudzību, risināšanā;</w:t>
      </w:r>
    </w:p>
    <w:p>
      <w:pPr>
        <w:pStyle w:val="Normal"/>
        <w:numPr>
          <w:ilvl w:val="2"/>
          <w:numId w:val="2"/>
        </w:numPr>
        <w:tabs>
          <w:tab w:val="clear" w:pos="720"/>
          <w:tab w:val="left" w:pos="1134" w:leader="none"/>
        </w:tabs>
        <w:spacing w:lineRule="auto" w:line="240" w:before="0" w:after="200"/>
        <w:ind w:left="426" w:hanging="0"/>
        <w:contextualSpacing/>
        <w:jc w:val="both"/>
        <w:rPr>
          <w:rFonts w:eastAsia="Calibri"/>
          <w:b/>
          <w:b/>
          <w:color w:val="000000"/>
        </w:rPr>
      </w:pPr>
      <w:r>
        <w:rPr>
          <w:rFonts w:eastAsia="Calibri"/>
          <w:color w:val="000000"/>
        </w:rPr>
        <w:t>nodrošināt Izpildītāju ar Autoruzraudzībai nepieciešamo informāciju un dokumentāciju, tai skaitā iepazīstināt ar noslēgtā Būvdarbu līguma nosacījumiem;</w:t>
      </w:r>
    </w:p>
    <w:p>
      <w:pPr>
        <w:pStyle w:val="Normal"/>
        <w:numPr>
          <w:ilvl w:val="2"/>
          <w:numId w:val="2"/>
        </w:numPr>
        <w:tabs>
          <w:tab w:val="clear" w:pos="720"/>
          <w:tab w:val="left" w:pos="1134" w:leader="none"/>
        </w:tabs>
        <w:spacing w:lineRule="auto" w:line="240" w:before="0" w:after="200"/>
        <w:ind w:left="426" w:hanging="0"/>
        <w:contextualSpacing/>
        <w:jc w:val="both"/>
        <w:rPr>
          <w:rFonts w:eastAsia="Calibri"/>
          <w:b/>
          <w:b/>
        </w:rPr>
      </w:pPr>
      <w:r>
        <w:rPr>
          <w:rFonts w:eastAsia="Calibri"/>
        </w:rPr>
        <w:t>parakstīt pieņemšanas – nodošanas aktu, ja Autoruzraudzība atbilst Līguma noteikumiem un ir veikta pienācīgā kvalitātē;</w:t>
      </w:r>
    </w:p>
    <w:p>
      <w:pPr>
        <w:pStyle w:val="Normal"/>
        <w:numPr>
          <w:ilvl w:val="2"/>
          <w:numId w:val="2"/>
        </w:numPr>
        <w:tabs>
          <w:tab w:val="clear" w:pos="720"/>
          <w:tab w:val="left" w:pos="1134" w:leader="none"/>
        </w:tabs>
        <w:spacing w:lineRule="auto" w:line="240" w:before="0" w:after="200"/>
        <w:ind w:left="426" w:hanging="0"/>
        <w:contextualSpacing/>
        <w:jc w:val="both"/>
        <w:rPr>
          <w:rFonts w:eastAsia="Calibri"/>
          <w:b/>
          <w:b/>
        </w:rPr>
      </w:pPr>
      <w:r>
        <w:rPr>
          <w:rFonts w:eastAsia="Calibri"/>
        </w:rPr>
        <w:t>pieprasīt no Izpildītāja tā radīto zaudējumu kompensāciju, ja Pakalpojums nav sniegts atbilstoši Līguma noteikumiem.</w:t>
      </w:r>
    </w:p>
    <w:p>
      <w:pPr>
        <w:pStyle w:val="Normal"/>
        <w:numPr>
          <w:ilvl w:val="1"/>
          <w:numId w:val="2"/>
        </w:numPr>
        <w:spacing w:lineRule="auto" w:line="240" w:before="0" w:after="200"/>
        <w:ind w:left="0" w:hanging="0"/>
        <w:contextualSpacing/>
        <w:jc w:val="both"/>
        <w:rPr>
          <w:rFonts w:eastAsia="Calibri"/>
          <w:b/>
          <w:b/>
        </w:rPr>
      </w:pPr>
      <w:r>
        <w:rPr>
          <w:rFonts w:eastAsia="Calibri"/>
        </w:rPr>
        <w:t>Izpildītājam ir tiesības:</w:t>
      </w:r>
    </w:p>
    <w:p>
      <w:pPr>
        <w:pStyle w:val="Normal"/>
        <w:numPr>
          <w:ilvl w:val="2"/>
          <w:numId w:val="2"/>
        </w:numPr>
        <w:tabs>
          <w:tab w:val="clear" w:pos="720"/>
          <w:tab w:val="left" w:pos="1134" w:leader="none"/>
        </w:tabs>
        <w:spacing w:lineRule="auto" w:line="240" w:before="0" w:after="200"/>
        <w:ind w:left="426" w:hanging="0"/>
        <w:contextualSpacing/>
        <w:jc w:val="both"/>
        <w:rPr>
          <w:rFonts w:eastAsia="Calibri"/>
          <w:b/>
          <w:b/>
        </w:rPr>
      </w:pPr>
      <w:r>
        <w:rPr>
          <w:rFonts w:eastAsia="Calibri"/>
        </w:rPr>
        <w:t>saņemt atlīdzību par Autoruzraudzību, kas veikta atbilstoši Līguma noteikumiem;</w:t>
      </w:r>
    </w:p>
    <w:p>
      <w:pPr>
        <w:pStyle w:val="Normal"/>
        <w:numPr>
          <w:ilvl w:val="2"/>
          <w:numId w:val="2"/>
        </w:numPr>
        <w:tabs>
          <w:tab w:val="clear" w:pos="720"/>
          <w:tab w:val="left" w:pos="1134" w:leader="none"/>
        </w:tabs>
        <w:spacing w:lineRule="auto" w:line="240" w:before="0" w:after="200"/>
        <w:ind w:left="426" w:hanging="0"/>
        <w:contextualSpacing/>
        <w:jc w:val="both"/>
        <w:rPr>
          <w:rFonts w:eastAsia="Calibri"/>
          <w:b/>
          <w:b/>
          <w:color w:val="000000"/>
        </w:rPr>
      </w:pPr>
      <w:r>
        <w:rPr>
          <w:color w:val="000000"/>
          <w:lang w:eastAsia="lv-LV"/>
        </w:rPr>
        <w:t>piedalīties Objekta pieņemšanā ekspluatācijā;</w:t>
      </w:r>
    </w:p>
    <w:p>
      <w:pPr>
        <w:pStyle w:val="Normal"/>
        <w:numPr>
          <w:ilvl w:val="2"/>
          <w:numId w:val="2"/>
        </w:numPr>
        <w:tabs>
          <w:tab w:val="clear" w:pos="720"/>
          <w:tab w:val="left" w:pos="1134" w:leader="none"/>
        </w:tabs>
        <w:spacing w:lineRule="auto" w:line="240" w:before="0" w:after="200"/>
        <w:ind w:left="426" w:hanging="0"/>
        <w:contextualSpacing/>
        <w:jc w:val="both"/>
        <w:rPr>
          <w:rFonts w:eastAsia="Calibri"/>
          <w:b/>
          <w:b/>
          <w:color w:val="000000"/>
        </w:rPr>
      </w:pPr>
      <w:r>
        <w:rPr>
          <w:color w:val="000000"/>
          <w:lang w:eastAsia="lv-LV"/>
        </w:rPr>
        <w:t>pieprasīt iesniegt izvērtēšanai būvdarbu veicēja izstrādātos risinājumus un informāciju par lietotajām konstrukcijām, iekārtām, materiāliem;</w:t>
      </w:r>
    </w:p>
    <w:p>
      <w:pPr>
        <w:pStyle w:val="Normal"/>
        <w:numPr>
          <w:ilvl w:val="2"/>
          <w:numId w:val="2"/>
        </w:numPr>
        <w:tabs>
          <w:tab w:val="clear" w:pos="720"/>
          <w:tab w:val="left" w:pos="1134" w:leader="none"/>
        </w:tabs>
        <w:spacing w:lineRule="auto" w:line="240" w:before="0" w:after="200"/>
        <w:ind w:left="426" w:hanging="0"/>
        <w:contextualSpacing/>
        <w:jc w:val="both"/>
        <w:rPr>
          <w:rFonts w:eastAsia="Calibri"/>
          <w:b/>
          <w:b/>
          <w:color w:val="000000"/>
        </w:rPr>
      </w:pPr>
      <w:r>
        <w:rPr>
          <w:color w:val="000000"/>
          <w:lang w:eastAsia="lv-LV"/>
        </w:rPr>
        <w:t>pārbaudīt, vai Objektā ir atbilstoša būvprojekta un būvdarbu izpildes dokumentācija;</w:t>
      </w:r>
    </w:p>
    <w:p>
      <w:pPr>
        <w:pStyle w:val="Normal"/>
        <w:numPr>
          <w:ilvl w:val="2"/>
          <w:numId w:val="2"/>
        </w:numPr>
        <w:tabs>
          <w:tab w:val="clear" w:pos="720"/>
          <w:tab w:val="left" w:pos="1134" w:leader="none"/>
        </w:tabs>
        <w:spacing w:lineRule="auto" w:line="240" w:before="0" w:after="200"/>
        <w:ind w:left="426" w:hanging="0"/>
        <w:contextualSpacing/>
        <w:jc w:val="both"/>
        <w:rPr>
          <w:rFonts w:eastAsia="Calibri"/>
          <w:b/>
          <w:b/>
          <w:color w:val="000000"/>
        </w:rPr>
      </w:pPr>
      <w:r>
        <w:rPr>
          <w:color w:val="000000"/>
          <w:lang w:eastAsia="lv-LV"/>
        </w:rPr>
        <w:t>pārbaudīt būvdarbu secības un kvalitātes atbilstību būvprojektam, kā arī normatīvo aktu prasībām;</w:t>
      </w:r>
    </w:p>
    <w:p>
      <w:pPr>
        <w:pStyle w:val="Normal"/>
        <w:numPr>
          <w:ilvl w:val="2"/>
          <w:numId w:val="2"/>
        </w:numPr>
        <w:tabs>
          <w:tab w:val="clear" w:pos="720"/>
          <w:tab w:val="left" w:pos="1134" w:leader="none"/>
        </w:tabs>
        <w:spacing w:lineRule="auto" w:line="240" w:before="0" w:after="200"/>
        <w:ind w:left="426" w:hanging="0"/>
        <w:contextualSpacing/>
        <w:jc w:val="both"/>
        <w:rPr>
          <w:rFonts w:eastAsia="Calibri"/>
          <w:b/>
          <w:b/>
          <w:color w:val="000000"/>
        </w:rPr>
      </w:pPr>
      <w:r>
        <w:rPr>
          <w:rFonts w:eastAsia="Calibri"/>
          <w:color w:val="000000"/>
        </w:rPr>
        <w:t>mainīt Līguma atbildīgo autoruzraugu tikai ar Pasūtītāja rakstisku piekrišanu.</w:t>
      </w:r>
    </w:p>
    <w:p>
      <w:pPr>
        <w:pStyle w:val="Normal"/>
        <w:numPr>
          <w:ilvl w:val="1"/>
          <w:numId w:val="2"/>
        </w:numPr>
        <w:spacing w:lineRule="auto" w:line="240" w:before="0" w:after="200"/>
        <w:ind w:left="0" w:hanging="0"/>
        <w:contextualSpacing/>
        <w:jc w:val="both"/>
        <w:rPr>
          <w:rFonts w:eastAsia="Calibri"/>
          <w:b/>
          <w:b/>
          <w:color w:val="000000"/>
        </w:rPr>
      </w:pPr>
      <w:r>
        <w:rPr>
          <w:rFonts w:eastAsia="Calibri"/>
        </w:rPr>
        <w:t>Izpildītājs apņemas:</w:t>
      </w:r>
    </w:p>
    <w:p>
      <w:pPr>
        <w:pStyle w:val="Normal"/>
        <w:numPr>
          <w:ilvl w:val="2"/>
          <w:numId w:val="2"/>
        </w:numPr>
        <w:spacing w:lineRule="auto" w:line="240" w:before="0" w:after="0"/>
        <w:ind w:left="567" w:hanging="0"/>
        <w:contextualSpacing/>
        <w:jc w:val="both"/>
        <w:rPr>
          <w:rFonts w:eastAsia="Calibri"/>
          <w:b/>
          <w:b/>
        </w:rPr>
      </w:pPr>
      <w:r>
        <w:rPr>
          <w:rFonts w:eastAsia="Calibri"/>
        </w:rPr>
        <w:t xml:space="preserve">veikt Autoruzraudzību kvalitatīvi, pilnā apjomā, Līgumā noteiktajos termiņos un ievērojot </w:t>
      </w:r>
      <w:r>
        <w:rPr>
          <w:lang w:eastAsia="lv-LV"/>
        </w:rPr>
        <w:t>Ministru kabineta 2014. gada 19. augusta noteikumu Nr. 500 “Vispārīgie būvnoteikumi” 113. punkta noteiktos autoruzrauga pienākumus.</w:t>
      </w:r>
      <w:r>
        <w:rPr>
          <w:rFonts w:eastAsia="Calibri"/>
          <w:b/>
        </w:rPr>
        <w:t xml:space="preserve"> </w:t>
      </w:r>
      <w:r>
        <w:rPr>
          <w:lang w:eastAsia="lv-LV"/>
        </w:rPr>
        <w:t xml:space="preserve">Autoruzraudzība netiek veikta būvdarbu pārtraukumos un gadījumā, ja tiek izbeigts Būvdarbu līgums. Gadījumā, ja tiek izbeigts Būvdarbu līgums, Izpildītājs ir tiesīgs saņemt atlīdzību par faktiski kvalitatīvi paveiktiem darbiem Autoruzraudzības laikā, kas noteikti pieņemšanas-nodošanas aktā. Šādā gadījumā Pasūtītājs ____ (___) dienu laikā pēc pieņemšanas – nodošanas akta parakstīšanas un atbilstoša rēķina saņemšanas veic samaksu par faktiski kvalitatīvi veikto Autoruzraudzību; </w:t>
      </w:r>
    </w:p>
    <w:p>
      <w:pPr>
        <w:pStyle w:val="ListParagraph"/>
        <w:numPr>
          <w:ilvl w:val="2"/>
          <w:numId w:val="2"/>
        </w:numPr>
        <w:spacing w:lineRule="auto" w:line="240"/>
        <w:ind w:left="567" w:hanging="0"/>
        <w:jc w:val="both"/>
        <w:rPr>
          <w:rFonts w:ascii="Times New Roman" w:hAnsi="Times New Roman" w:eastAsia="Calibri" w:cs="Times New Roman"/>
          <w:b/>
          <w:b/>
          <w:color w:val="000000"/>
        </w:rPr>
      </w:pPr>
      <w:r>
        <w:rPr>
          <w:rFonts w:cs="Times New Roman" w:ascii="Times New Roman" w:hAnsi="Times New Roman"/>
        </w:rPr>
        <w:t>pirms būvdarbu uzsākšanas objektā būvspeciālistam, kas veiks atbildīgā autoruzrauga pienākumus, vai būvkomersantam, kas nodarbina konkrēto būvspeciālistu, jānoslēdz būvspeciālista apdrošināšanas līgums. Minētais līgums jāuztur spēkā visu būvdarbu un garantijas laiku,</w:t>
      </w:r>
      <w:r>
        <w:rPr>
          <w:rFonts w:cs="Times New Roman" w:ascii="Times New Roman" w:hAnsi="Times New Roman"/>
          <w:color w:val="000000"/>
        </w:rPr>
        <w:t xml:space="preserve"> atbilstoši Ministru kabineta 2014.gada 1.oktobra noteikumiem Nr.502 “Noteikumi par būvspeciālistu un būvdarbu veicēju civiltiesiskās atbildības obligāto apdrošināšanu”; </w:t>
      </w:r>
    </w:p>
    <w:p>
      <w:pPr>
        <w:pStyle w:val="Normal"/>
        <w:numPr>
          <w:ilvl w:val="2"/>
          <w:numId w:val="2"/>
        </w:numPr>
        <w:spacing w:lineRule="auto" w:line="240" w:before="0" w:after="0"/>
        <w:ind w:left="567" w:hanging="0"/>
        <w:contextualSpacing/>
        <w:jc w:val="both"/>
        <w:rPr>
          <w:rFonts w:eastAsia="Calibri"/>
          <w:b/>
          <w:b/>
        </w:rPr>
      </w:pPr>
      <w:r>
        <w:rPr>
          <w:color w:val="000000"/>
          <w:lang w:eastAsia="lv-LV"/>
        </w:rPr>
        <w:t>apsekot Objektu un apsekojuma rezultātus ierakstīt autoruzraudzības žurnālā;</w:t>
      </w:r>
    </w:p>
    <w:p>
      <w:pPr>
        <w:pStyle w:val="Normal"/>
        <w:numPr>
          <w:ilvl w:val="2"/>
          <w:numId w:val="2"/>
        </w:numPr>
        <w:spacing w:lineRule="auto" w:line="240" w:before="0" w:after="200"/>
        <w:ind w:left="567" w:hanging="0"/>
        <w:contextualSpacing/>
        <w:jc w:val="both"/>
        <w:rPr>
          <w:rFonts w:eastAsia="Calibri"/>
          <w:b/>
          <w:b/>
          <w:color w:val="000000"/>
        </w:rPr>
      </w:pPr>
      <w:r>
        <w:rPr>
          <w:color w:val="000000"/>
          <w:lang w:eastAsia="lv-LV"/>
        </w:rPr>
        <w:t>izskatīt būvdarbu veicēja iesniegtos risinājumus un informāciju par lietotajām konstrukcijām, iekārtām, materiāliem un __ (___) darba dienu laikā sniegt atzinumus par to atbilstību būvprojektam;</w:t>
      </w:r>
    </w:p>
    <w:p>
      <w:pPr>
        <w:pStyle w:val="Normal"/>
        <w:numPr>
          <w:ilvl w:val="2"/>
          <w:numId w:val="2"/>
        </w:numPr>
        <w:spacing w:lineRule="auto" w:line="240" w:before="0" w:after="200"/>
        <w:ind w:left="567" w:hanging="0"/>
        <w:contextualSpacing/>
        <w:jc w:val="both"/>
        <w:rPr>
          <w:rFonts w:eastAsia="Calibri"/>
          <w:b/>
          <w:b/>
          <w:color w:val="000000"/>
        </w:rPr>
      </w:pPr>
      <w:r>
        <w:rPr>
          <w:color w:val="000000"/>
          <w:lang w:eastAsia="lv-LV"/>
        </w:rPr>
        <w:t>ja nepieciešams, dot norādījumus būvdarbu vadītājam būvprojektā paredzēto risinājumu īstenošanai;</w:t>
      </w:r>
    </w:p>
    <w:p>
      <w:pPr>
        <w:pStyle w:val="Normal"/>
        <w:numPr>
          <w:ilvl w:val="2"/>
          <w:numId w:val="2"/>
        </w:numPr>
        <w:spacing w:lineRule="auto" w:line="240" w:before="0" w:after="200"/>
        <w:ind w:left="567" w:hanging="0"/>
        <w:contextualSpacing/>
        <w:jc w:val="both"/>
        <w:rPr>
          <w:rFonts w:eastAsia="Calibri"/>
          <w:b/>
          <w:b/>
          <w:color w:val="000000"/>
        </w:rPr>
      </w:pPr>
      <w:r>
        <w:rPr>
          <w:color w:val="000000"/>
          <w:lang w:eastAsia="lv-LV"/>
        </w:rPr>
        <w:t>atbilstoši kompetencei kontrolēt autoruzraudzības žurnālā un būvdarbu žurnālā ierakstīto norādījumu izpildi;</w:t>
      </w:r>
    </w:p>
    <w:p>
      <w:pPr>
        <w:pStyle w:val="Normal"/>
        <w:numPr>
          <w:ilvl w:val="2"/>
          <w:numId w:val="2"/>
        </w:numPr>
        <w:spacing w:lineRule="auto" w:line="240" w:before="0" w:after="200"/>
        <w:ind w:left="567" w:hanging="0"/>
        <w:contextualSpacing/>
        <w:jc w:val="both"/>
        <w:rPr>
          <w:rFonts w:eastAsia="Calibri"/>
          <w:b/>
          <w:b/>
          <w:strike/>
          <w:color w:val="000000"/>
        </w:rPr>
      </w:pPr>
      <w:r>
        <w:rPr>
          <w:rFonts w:eastAsia="Calibri"/>
          <w:color w:val="000000"/>
        </w:rPr>
        <w:t xml:space="preserve">regulāri veikt Objekta apsekošanu ne retāk kā 1 (vienu) reizi </w:t>
      </w:r>
      <w:r>
        <w:rPr>
          <w:rFonts w:eastAsia="Calibri" w:cs="Times New Roman"/>
          <w:color w:val="000000"/>
          <w:kern w:val="0"/>
          <w:sz w:val="24"/>
          <w:szCs w:val="24"/>
          <w:lang w:val="lv-LV" w:eastAsia="en-US" w:bidi="ar-SA"/>
        </w:rPr>
        <w:t>mēnesī</w:t>
      </w:r>
      <w:r>
        <w:rPr>
          <w:rFonts w:eastAsia="Calibri"/>
          <w:color w:val="000000"/>
        </w:rPr>
        <w:t xml:space="preserve">, par apsekojuma dienu un laiku vienojoties ar Pasūtītāju, un apsekojuma rezultātus ierakstot autoruzraudzības žurnālā; </w:t>
      </w:r>
    </w:p>
    <w:p>
      <w:pPr>
        <w:pStyle w:val="Normal"/>
        <w:numPr>
          <w:ilvl w:val="2"/>
          <w:numId w:val="2"/>
        </w:numPr>
        <w:spacing w:lineRule="auto" w:line="240" w:before="0" w:after="200"/>
        <w:ind w:left="567" w:hanging="0"/>
        <w:contextualSpacing/>
        <w:jc w:val="both"/>
        <w:rPr>
          <w:rFonts w:eastAsia="Calibri"/>
          <w:b/>
          <w:b/>
          <w:strike/>
        </w:rPr>
      </w:pPr>
      <w:r>
        <w:rPr>
          <w:rFonts w:eastAsia="Calibri"/>
          <w:color w:val="000000"/>
        </w:rPr>
        <w:t>nodrošināt savu piedalīšanos katrā būvsapulcē</w:t>
      </w:r>
      <w:r>
        <w:rPr>
          <w:rFonts w:eastAsia="Calibri"/>
        </w:rPr>
        <w:t xml:space="preserve">, tas ir, ___ (___) reizes </w:t>
      </w:r>
      <w:r>
        <w:rPr>
          <w:rFonts w:eastAsia="Calibri" w:cs="Times New Roman"/>
          <w:color w:val="auto"/>
          <w:kern w:val="0"/>
          <w:sz w:val="24"/>
          <w:szCs w:val="24"/>
          <w:lang w:val="lv-LV" w:eastAsia="en-US" w:bidi="ar-SA"/>
        </w:rPr>
        <w:t>mēnesī</w:t>
      </w:r>
      <w:r>
        <w:rPr>
          <w:rFonts w:eastAsia="Calibri"/>
        </w:rPr>
        <w:t xml:space="preserve"> vai papildus</w:t>
      </w:r>
      <w:r>
        <w:rPr>
          <w:rFonts w:eastAsia="Calibri"/>
          <w:color w:val="000000"/>
        </w:rPr>
        <w:t>, ja ir nepieciešams, īpašu apstākļu dēļ Objektā;</w:t>
      </w:r>
    </w:p>
    <w:p>
      <w:pPr>
        <w:pStyle w:val="Normal"/>
        <w:numPr>
          <w:ilvl w:val="2"/>
          <w:numId w:val="2"/>
        </w:numPr>
        <w:spacing w:lineRule="auto" w:line="240" w:before="0" w:after="200"/>
        <w:ind w:left="567" w:hanging="0"/>
        <w:contextualSpacing/>
        <w:jc w:val="both"/>
        <w:rPr>
          <w:rFonts w:eastAsia="Calibri"/>
          <w:b/>
          <w:b/>
          <w:strike/>
        </w:rPr>
      </w:pPr>
      <w:r>
        <w:rPr>
          <w:rFonts w:eastAsia="Calibri"/>
        </w:rPr>
        <w:t>pēc būvuzrauga, Pasūtītāja, būvinspektora rakstiska vai mutiska uzaicinājuma 24 (divdesmit četru) stundu laikā no pieprasījuma brīža ierasties Objektā, vai brīdinot par nepieciešamību pārlikt Objekta apsekošanu uz vēlāku laiku, vienojoties ar būvuzraugu, Pasūtītāju, būvinspektoru par citu apsekošanas laiku;</w:t>
      </w:r>
    </w:p>
    <w:p>
      <w:pPr>
        <w:pStyle w:val="Normal"/>
        <w:numPr>
          <w:ilvl w:val="2"/>
          <w:numId w:val="2"/>
        </w:numPr>
        <w:spacing w:lineRule="auto" w:line="240" w:before="0" w:after="200"/>
        <w:ind w:left="567" w:hanging="0"/>
        <w:contextualSpacing/>
        <w:jc w:val="both"/>
        <w:rPr>
          <w:rFonts w:eastAsia="Calibri"/>
          <w:b/>
          <w:b/>
          <w:strike/>
        </w:rPr>
      </w:pPr>
      <w:r>
        <w:rPr>
          <w:rFonts w:eastAsia="Calibri"/>
        </w:rPr>
        <w:t>Autoruzraudzības izpildes rezultātā bez Pasūtītāja rakstveida piekrišanas nenodot trešajām personām tapušos jebkāda veida materiālus, ja vien šo materiālu nodošana trešajām personām nav noteikta saskaņā ar spēkā esošajiem normatīvajiem aktiem;</w:t>
      </w:r>
    </w:p>
    <w:p>
      <w:pPr>
        <w:pStyle w:val="Normal"/>
        <w:numPr>
          <w:ilvl w:val="2"/>
          <w:numId w:val="2"/>
        </w:numPr>
        <w:spacing w:lineRule="auto" w:line="240" w:before="0" w:after="200"/>
        <w:ind w:left="567" w:hanging="0"/>
        <w:contextualSpacing/>
        <w:jc w:val="both"/>
        <w:rPr>
          <w:rFonts w:eastAsia="Calibri"/>
          <w:b/>
          <w:b/>
          <w:strike/>
        </w:rPr>
      </w:pPr>
      <w:r>
        <w:rPr>
          <w:rFonts w:eastAsia="Calibri"/>
        </w:rPr>
        <w:t>nekavējoties, bet ne vēlāk kā 2 (divu) darba dienu laikā rakstiski informēt Pasūtītāju, ja būvdarbi tiek veikti nekvalitatīvi, vai, ja tiek konstatētas patvaļīgas atkāpes no būvprojekta, vai ja netiek ievērotas Latvijas būvnormatīvu prasības. Šādā gadījumā Izpildītājs, iepriekš saskaņojot ar Pasūtītāju, iesniedz būvuzraugam rakstisku pieprasījumu pārtraukt būvdarbus līdz konstatēto trūkumu novēršanai.</w:t>
      </w:r>
    </w:p>
    <w:p>
      <w:pPr>
        <w:pStyle w:val="Normal"/>
        <w:spacing w:lineRule="auto" w:line="240" w:before="0" w:after="200"/>
        <w:ind w:left="2694" w:hanging="0"/>
        <w:contextualSpacing/>
        <w:jc w:val="both"/>
        <w:rPr>
          <w:rFonts w:eastAsia="Calibri"/>
          <w:b/>
          <w:b/>
          <w:strike/>
        </w:rPr>
      </w:pPr>
      <w:r>
        <w:rPr>
          <w:rFonts w:eastAsia="Calibri"/>
          <w:b/>
          <w:strike/>
        </w:rPr>
      </w:r>
    </w:p>
    <w:p>
      <w:pPr>
        <w:pStyle w:val="Normal"/>
        <w:numPr>
          <w:ilvl w:val="0"/>
          <w:numId w:val="2"/>
        </w:numPr>
        <w:tabs>
          <w:tab w:val="left" w:pos="450" w:leader="none"/>
          <w:tab w:val="right" w:pos="720" w:leader="dot"/>
        </w:tabs>
        <w:overflowPunct w:val="true"/>
        <w:spacing w:lineRule="auto" w:line="240"/>
        <w:ind w:left="0" w:hanging="360"/>
        <w:jc w:val="center"/>
        <w:textAlignment w:val="baseline"/>
        <w:rPr>
          <w:b/>
          <w:b/>
          <w:color w:val="000000"/>
        </w:rPr>
      </w:pPr>
      <w:r>
        <w:rPr>
          <w:b/>
          <w:color w:val="000000"/>
        </w:rPr>
        <w:t>PIEŅEMŠANAS UN NODOŠANAS KĀRTĪBA</w:t>
      </w:r>
    </w:p>
    <w:p>
      <w:pPr>
        <w:pStyle w:val="Normal"/>
        <w:numPr>
          <w:ilvl w:val="1"/>
          <w:numId w:val="2"/>
        </w:numPr>
        <w:tabs>
          <w:tab w:val="clear" w:pos="720"/>
          <w:tab w:val="right" w:pos="0" w:leader="dot"/>
        </w:tabs>
        <w:overflowPunct w:val="true"/>
        <w:spacing w:lineRule="auto" w:line="240"/>
        <w:ind w:left="0" w:hanging="0"/>
        <w:jc w:val="both"/>
        <w:textAlignment w:val="baseline"/>
        <w:rPr>
          <w:b/>
          <w:b/>
          <w:color w:val="000000"/>
        </w:rPr>
      </w:pPr>
      <w:r>
        <w:rPr>
          <w:color w:val="000000"/>
        </w:rPr>
        <w:t>Līgumā noteiktā Autoruzraudzība tiek uzskatīta par izpildītu tikai tad, kad Pasūtītājs un Izpildītājs ir parakstījuši pieņemšanas – nodošanas aktu.</w:t>
      </w:r>
    </w:p>
    <w:p>
      <w:pPr>
        <w:pStyle w:val="Normal"/>
        <w:numPr>
          <w:ilvl w:val="1"/>
          <w:numId w:val="2"/>
        </w:numPr>
        <w:tabs>
          <w:tab w:val="clear" w:pos="720"/>
          <w:tab w:val="right" w:pos="0" w:leader="dot"/>
        </w:tabs>
        <w:overflowPunct w:val="true"/>
        <w:spacing w:lineRule="auto" w:line="240"/>
        <w:ind w:left="0" w:hanging="0"/>
        <w:jc w:val="both"/>
        <w:textAlignment w:val="baseline"/>
        <w:rPr>
          <w:b/>
          <w:b/>
          <w:color w:val="000000"/>
        </w:rPr>
      </w:pPr>
      <w:r>
        <w:rPr>
          <w:color w:val="000000"/>
        </w:rPr>
        <w:t>Pieņemšanas – nodošanas akta parakstīšana neatbrīvo Izpildītāju no atbildības par slēptiem, akta parakstīšanas laikā nekonstatētiem, trūkumiem.</w:t>
      </w:r>
    </w:p>
    <w:p>
      <w:pPr>
        <w:pStyle w:val="Normal"/>
        <w:numPr>
          <w:ilvl w:val="1"/>
          <w:numId w:val="2"/>
        </w:numPr>
        <w:tabs>
          <w:tab w:val="clear" w:pos="720"/>
          <w:tab w:val="right" w:pos="0" w:leader="dot"/>
        </w:tabs>
        <w:overflowPunct w:val="true"/>
        <w:spacing w:lineRule="auto" w:line="240"/>
        <w:ind w:left="0" w:hanging="0"/>
        <w:jc w:val="both"/>
        <w:textAlignment w:val="baseline"/>
        <w:rPr>
          <w:b/>
          <w:b/>
          <w:color w:val="000000"/>
        </w:rPr>
      </w:pPr>
      <w:r>
        <w:rPr>
          <w:color w:val="000000"/>
        </w:rPr>
        <w:t>Pieņemšanas - nodošanas akts pēc tā abpusējas parakstīšanas kļūst par neatņemamu Līguma sastāvdaļu.</w:t>
      </w:r>
    </w:p>
    <w:p>
      <w:pPr>
        <w:pStyle w:val="Normal"/>
        <w:numPr>
          <w:ilvl w:val="1"/>
          <w:numId w:val="2"/>
        </w:numPr>
        <w:tabs>
          <w:tab w:val="clear" w:pos="720"/>
          <w:tab w:val="right" w:pos="0" w:leader="dot"/>
        </w:tabs>
        <w:overflowPunct w:val="true"/>
        <w:spacing w:lineRule="auto" w:line="240"/>
        <w:ind w:left="0" w:hanging="0"/>
        <w:jc w:val="both"/>
        <w:textAlignment w:val="baseline"/>
        <w:rPr>
          <w:b/>
          <w:b/>
          <w:color w:val="000000"/>
        </w:rPr>
      </w:pPr>
      <w:r>
        <w:rPr>
          <w:color w:val="000000"/>
        </w:rPr>
        <w:t>Pasūtītājs paraksta Izpildītāja iesniegtu pieņemšanas – nodošanas aktu 5 (piecu) darba dienu laikā no tā saņemšanas brīža, vai šajā termiņā iesniedz motivētu atteikumu aktu parakstīt. Ja Pasūtītājs šajā termiņā nav iesniedzis motivētu atteikumu aktu parakstīt, uzskatāms, ka Pasūtītājs Autoruzraudzību ir pieņēmis.</w:t>
      </w:r>
    </w:p>
    <w:p>
      <w:pPr>
        <w:pStyle w:val="Normal"/>
        <w:numPr>
          <w:ilvl w:val="1"/>
          <w:numId w:val="2"/>
        </w:numPr>
        <w:tabs>
          <w:tab w:val="clear" w:pos="720"/>
          <w:tab w:val="right" w:pos="0" w:leader="dot"/>
        </w:tabs>
        <w:overflowPunct w:val="true"/>
        <w:spacing w:lineRule="auto" w:line="240"/>
        <w:ind w:left="0" w:hanging="0"/>
        <w:jc w:val="both"/>
        <w:textAlignment w:val="baseline"/>
        <w:rPr>
          <w:b/>
          <w:b/>
          <w:color w:val="000000"/>
        </w:rPr>
      </w:pPr>
      <w:r>
        <w:rPr>
          <w:color w:val="000000"/>
        </w:rPr>
        <w:t xml:space="preserve">Motivēta atteikuma gadījumā Puses vienojas par nepilnību novēršanu un sastāda aktu, norādot novēršamās nepilnības, kā arī to novēršanas termiņus. </w:t>
      </w:r>
    </w:p>
    <w:p>
      <w:pPr>
        <w:pStyle w:val="Normal"/>
        <w:numPr>
          <w:ilvl w:val="1"/>
          <w:numId w:val="2"/>
        </w:numPr>
        <w:overflowPunct w:val="true"/>
        <w:spacing w:lineRule="auto" w:line="240"/>
        <w:ind w:left="0" w:hanging="0"/>
        <w:jc w:val="both"/>
        <w:textAlignment w:val="baseline"/>
        <w:rPr>
          <w:b/>
          <w:b/>
          <w:color w:val="000000"/>
        </w:rPr>
      </w:pPr>
      <w:r>
        <w:rPr>
          <w:color w:val="000000"/>
        </w:rPr>
        <w:t>Ja Izpildītājs nav novērsis nepilnības termiņā, par kuru puses iepriekš ir vienojušās, Pasūtītājam ir tiesības pēc sava ieskata, vai nu samazināt Līgumcenu vai vienpusēji izbeigt Līgumu. Ja Pasūtītājs izmanto tiesības vienpusēji izbeigt Līgumu, Puses sastāda atsevišķu aktu par faktiski kvalitatīvi izpildītu Autoruzraudzību, to apjomu un vērtību.</w:t>
      </w:r>
    </w:p>
    <w:p>
      <w:pPr>
        <w:pStyle w:val="Normal"/>
        <w:numPr>
          <w:ilvl w:val="1"/>
          <w:numId w:val="2"/>
        </w:numPr>
        <w:tabs>
          <w:tab w:val="clear" w:pos="720"/>
          <w:tab w:val="right" w:pos="0" w:leader="dot"/>
        </w:tabs>
        <w:overflowPunct w:val="true"/>
        <w:spacing w:lineRule="auto" w:line="240"/>
        <w:ind w:left="0" w:hanging="0"/>
        <w:jc w:val="both"/>
        <w:textAlignment w:val="baseline"/>
        <w:rPr>
          <w:b/>
          <w:b/>
          <w:color w:val="000000"/>
        </w:rPr>
      </w:pPr>
      <w:r>
        <w:rPr>
          <w:color w:val="000000"/>
        </w:rPr>
        <w:t>Aktā norādītās nepilnības novērš Izpildītājs uz sava rēķina.</w:t>
      </w:r>
    </w:p>
    <w:p>
      <w:pPr>
        <w:pStyle w:val="Normal"/>
        <w:numPr>
          <w:ilvl w:val="1"/>
          <w:numId w:val="2"/>
        </w:numPr>
        <w:tabs>
          <w:tab w:val="clear" w:pos="720"/>
          <w:tab w:val="right" w:pos="0" w:leader="dot"/>
        </w:tabs>
        <w:overflowPunct w:val="true"/>
        <w:spacing w:lineRule="auto" w:line="240"/>
        <w:ind w:left="0" w:hanging="0"/>
        <w:jc w:val="both"/>
        <w:textAlignment w:val="baseline"/>
        <w:rPr>
          <w:b/>
          <w:b/>
          <w:color w:val="000000"/>
        </w:rPr>
      </w:pPr>
      <w:r>
        <w:rPr>
          <w:color w:val="000000"/>
        </w:rPr>
        <w:t>Pēc nepilnību novēršanas notiek atkārtota pieņemšana - nodošana.</w:t>
      </w:r>
    </w:p>
    <w:p>
      <w:pPr>
        <w:pStyle w:val="Normal"/>
        <w:tabs>
          <w:tab w:val="clear" w:pos="720"/>
          <w:tab w:val="right" w:pos="0" w:leader="dot"/>
        </w:tabs>
        <w:overflowPunct w:val="true"/>
        <w:spacing w:lineRule="auto" w:line="240"/>
        <w:jc w:val="center"/>
        <w:textAlignment w:val="baseline"/>
        <w:rPr>
          <w:color w:val="000000"/>
        </w:rPr>
      </w:pPr>
      <w:r>
        <w:rPr>
          <w:color w:val="000000"/>
        </w:rPr>
      </w:r>
    </w:p>
    <w:p>
      <w:pPr>
        <w:pStyle w:val="Normal"/>
        <w:numPr>
          <w:ilvl w:val="0"/>
          <w:numId w:val="2"/>
        </w:numPr>
        <w:overflowPunct w:val="true"/>
        <w:spacing w:lineRule="auto" w:line="240"/>
        <w:ind w:left="0" w:hanging="360"/>
        <w:jc w:val="center"/>
        <w:textAlignment w:val="baseline"/>
        <w:rPr>
          <w:rFonts w:eastAsia="Calibri"/>
          <w:b/>
          <w:b/>
          <w:color w:val="000000"/>
        </w:rPr>
      </w:pPr>
      <w:r>
        <w:rPr>
          <w:rFonts w:eastAsia="Calibri"/>
          <w:b/>
          <w:color w:val="000000"/>
        </w:rPr>
        <w:t>PUŠU ATBILDĪBA</w:t>
      </w:r>
    </w:p>
    <w:p>
      <w:pPr>
        <w:pStyle w:val="Normal"/>
        <w:numPr>
          <w:ilvl w:val="1"/>
          <w:numId w:val="2"/>
        </w:numPr>
        <w:spacing w:lineRule="auto" w:line="240" w:before="0" w:after="0"/>
        <w:ind w:left="0" w:hanging="0"/>
        <w:contextualSpacing/>
        <w:jc w:val="both"/>
        <w:rPr>
          <w:rFonts w:eastAsia="Calibri"/>
        </w:rPr>
      </w:pPr>
      <w:r>
        <w:rPr>
          <w:rFonts w:eastAsia="Calibri"/>
        </w:rPr>
        <w:t>Puse ir atbildīga par otrai Pusei nodarītajiem zaudējumiem, ja tie radušies Puses, tai skaitā tās darbinieku, pilnvaroto personu, Līguma izpildē iesaistīto trešo personu darbības vai bezdarbības rezultātā, pārkāpjot Līgumā noteiktās saistības, saskaņā ar Latvijas Republikā spēkā esošajiem normatīvajiem aktiem.</w:t>
      </w:r>
    </w:p>
    <w:p>
      <w:pPr>
        <w:pStyle w:val="Normal"/>
        <w:numPr>
          <w:ilvl w:val="1"/>
          <w:numId w:val="2"/>
        </w:numPr>
        <w:spacing w:lineRule="auto" w:line="240" w:before="0" w:after="200"/>
        <w:ind w:left="0" w:hanging="0"/>
        <w:contextualSpacing/>
        <w:jc w:val="both"/>
        <w:rPr>
          <w:rFonts w:eastAsia="Calibri"/>
        </w:rPr>
      </w:pPr>
      <w:r>
        <w:rPr>
          <w:rFonts w:eastAsia="Calibri"/>
        </w:rPr>
        <w:t>Puses nav atbildīgas viena otrai par Līguma saistību neizpildi vai nepienācīgu izpildi, ja iestājas nepārvaramas varas apstākļi, tādi kā ugunsgrēks, dabas stihija, jebkura rakstura karadarbība, varas un pārvaldes institūciju rīcība un bezdarbība, nepildot noteikumus kuri tām noteikti pēc likuma un normatīvajiem aktiem, kā arī jebkuri ārkārtēja rakstura apstākļi, kurus Puses nevarēja ne paredzēt, ne novērst. Šādā gadījumā saistību izpildes termiņš tiek atlikts attiecīgi uz termiņu, kurā darbojas šie apstākļi.</w:t>
      </w:r>
    </w:p>
    <w:p>
      <w:pPr>
        <w:pStyle w:val="Normal"/>
        <w:numPr>
          <w:ilvl w:val="1"/>
          <w:numId w:val="2"/>
        </w:numPr>
        <w:spacing w:lineRule="auto" w:line="240" w:before="0" w:after="200"/>
        <w:ind w:left="0" w:hanging="0"/>
        <w:contextualSpacing/>
        <w:jc w:val="both"/>
        <w:rPr>
          <w:rFonts w:eastAsia="Calibri"/>
        </w:rPr>
      </w:pPr>
      <w:r>
        <w:rPr>
          <w:rFonts w:eastAsia="Calibri"/>
        </w:rPr>
        <w:t xml:space="preserve">Ja Izpildītājs neveic Autoruzraudzību saskaņā ar spēkā esošajiem normatīvajiem aktiem, kas attiecas uz Autoruzraudzību, Pasūtītājam ir tiesības prasīt līgumsodu 100,00 EUR (viens simts </w:t>
      </w:r>
      <w:r>
        <w:rPr>
          <w:rFonts w:eastAsia="Calibri"/>
          <w:i/>
        </w:rPr>
        <w:t>euro</w:t>
      </w:r>
      <w:r>
        <w:rPr>
          <w:rFonts w:eastAsia="Calibri"/>
        </w:rPr>
        <w:t xml:space="preserve"> 00 centi) par katru konstatēto gadījumu, bet ne vairāk kā 10 % (desmit procenti) no Līgumcenas bez PVN.</w:t>
      </w:r>
    </w:p>
    <w:p>
      <w:pPr>
        <w:pStyle w:val="Normal"/>
        <w:numPr>
          <w:ilvl w:val="1"/>
          <w:numId w:val="2"/>
        </w:numPr>
        <w:spacing w:lineRule="auto" w:line="240" w:before="0" w:after="200"/>
        <w:ind w:left="0" w:hanging="0"/>
        <w:contextualSpacing/>
        <w:jc w:val="both"/>
        <w:rPr>
          <w:rFonts w:eastAsia="Calibri"/>
        </w:rPr>
      </w:pPr>
      <w:r>
        <w:rPr/>
        <w:t>Gadījumā ja Izpildītājs pārkāpj Līguma 4.5.3. apakšpunktā noteikto un Līgumā noteiktajā termiņā nenoslē</w:t>
      </w:r>
      <w:r>
        <w:rPr>
          <w:shd w:fill="auto" w:val="clear"/>
        </w:rPr>
        <w:t>dz profesionālās civiltiesiskās atbildības apdrošināšanas līgumu,</w:t>
      </w:r>
      <w:r>
        <w:rPr/>
        <w:t xml:space="preserve"> Izpildītājs maksā līgumsodu 10 % (desmit procenti) apmērā no Līgumcenas</w:t>
      </w:r>
      <w:r>
        <w:rPr>
          <w:rFonts w:eastAsia="Calibri"/>
        </w:rPr>
        <w:t xml:space="preserve"> bez PVN</w:t>
      </w:r>
      <w:r>
        <w:rPr/>
        <w:t xml:space="preserve">. </w:t>
      </w:r>
    </w:p>
    <w:p>
      <w:pPr>
        <w:pStyle w:val="Normal"/>
        <w:numPr>
          <w:ilvl w:val="1"/>
          <w:numId w:val="2"/>
        </w:numPr>
        <w:spacing w:lineRule="auto" w:line="240" w:before="0" w:after="200"/>
        <w:ind w:left="0" w:hanging="0"/>
        <w:contextualSpacing/>
        <w:jc w:val="both"/>
        <w:rPr>
          <w:rFonts w:eastAsia="Calibri"/>
        </w:rPr>
      </w:pPr>
      <w:r>
        <w:rPr>
          <w:rFonts w:eastAsia="Calibri"/>
        </w:rPr>
        <w:t xml:space="preserve">Ja Dobeles novada būvvalde ir apturējusi būvdarbus, jo Autoruzraudzība netiek veikta atbilstoši normatīvo aktu prasībām, Pasūtītājam ir tiesības prasīt līgumsodu 500,00 EUR (pieci simti </w:t>
      </w:r>
      <w:r>
        <w:rPr>
          <w:rFonts w:eastAsia="Calibri"/>
          <w:i/>
        </w:rPr>
        <w:t>euro</w:t>
      </w:r>
      <w:r>
        <w:rPr>
          <w:rFonts w:eastAsia="Calibri"/>
        </w:rPr>
        <w:t xml:space="preserve"> 00 centi) apmērā, bet ne vairāk kā 10 % (desmit procenti) no Līgumcenas bez PVN.</w:t>
      </w:r>
    </w:p>
    <w:p>
      <w:pPr>
        <w:pStyle w:val="Normal"/>
        <w:numPr>
          <w:ilvl w:val="1"/>
          <w:numId w:val="2"/>
        </w:numPr>
        <w:spacing w:lineRule="auto" w:line="240" w:before="0" w:after="200"/>
        <w:ind w:left="0" w:hanging="0"/>
        <w:contextualSpacing/>
        <w:jc w:val="both"/>
        <w:rPr>
          <w:rFonts w:eastAsia="Calibri"/>
        </w:rPr>
      </w:pPr>
      <w:r>
        <w:rPr>
          <w:rFonts w:eastAsia="Calibri"/>
        </w:rPr>
        <w:t>Ja Izpildītājs sistemātiski, t.i. vismaz divas reizes pēc kārtas, kavē Autoruzraudzības izpildes termiņu, tas maksā Pasūtītājam līgumsodu 0,1 % (nulle komats viens procents) apmērā par katru nokavējuma dienu, bet ne vairāk kā 10 % (desmit procenti) no Līgumcenas bez PVN.</w:t>
      </w:r>
    </w:p>
    <w:p>
      <w:pPr>
        <w:pStyle w:val="Normal"/>
        <w:numPr>
          <w:ilvl w:val="1"/>
          <w:numId w:val="2"/>
        </w:numPr>
        <w:spacing w:lineRule="auto" w:line="240" w:before="0" w:after="200"/>
        <w:ind w:left="0" w:hanging="0"/>
        <w:contextualSpacing/>
        <w:jc w:val="both"/>
        <w:rPr>
          <w:rFonts w:eastAsia="Calibri"/>
        </w:rPr>
      </w:pPr>
      <w:r>
        <w:rPr>
          <w:rFonts w:eastAsia="Calibri"/>
        </w:rPr>
        <w:t>Ja Pasūtītājs nokavē norēķinu, tas maksā Izpildītājam līgumsodu 0,1 % (nulle komats viens procents) apmērā no kavētās summas par katru nokavējuma dienu, bet ne vairāk kā 10 % (desmit procenti) no kavētās summas bez PVN.</w:t>
      </w:r>
    </w:p>
    <w:p>
      <w:pPr>
        <w:pStyle w:val="Normal"/>
        <w:numPr>
          <w:ilvl w:val="1"/>
          <w:numId w:val="2"/>
        </w:numPr>
        <w:spacing w:lineRule="auto" w:line="240" w:before="0" w:after="200"/>
        <w:ind w:left="0" w:hanging="0"/>
        <w:contextualSpacing/>
        <w:jc w:val="both"/>
        <w:rPr>
          <w:rFonts w:eastAsia="Calibri"/>
        </w:rPr>
      </w:pPr>
      <w:r>
        <w:rPr>
          <w:rFonts w:eastAsia="Calibri"/>
        </w:rPr>
        <w:t>Līgumsodu samaksa neatbrīvo no uzņemto saistību izpildes.</w:t>
      </w:r>
    </w:p>
    <w:p>
      <w:pPr>
        <w:pStyle w:val="Normal"/>
        <w:numPr>
          <w:ilvl w:val="1"/>
          <w:numId w:val="2"/>
        </w:numPr>
        <w:spacing w:lineRule="auto" w:line="240" w:before="0" w:after="200"/>
        <w:ind w:left="0" w:hanging="0"/>
        <w:contextualSpacing/>
        <w:jc w:val="both"/>
        <w:rPr>
          <w:rFonts w:eastAsia="Calibri"/>
        </w:rPr>
      </w:pPr>
      <w:r>
        <w:rPr>
          <w:rFonts w:eastAsia="Calibri"/>
        </w:rPr>
        <w:t>Pasūtītājs ir tiesīgs Izpildītājam aprēķinātos līgumsodus ieturēt no tam izmaksājamās Līgumcenas.</w:t>
      </w:r>
    </w:p>
    <w:p>
      <w:pPr>
        <w:pStyle w:val="Normal"/>
        <w:spacing w:lineRule="auto" w:line="240" w:before="0" w:after="200"/>
        <w:contextualSpacing/>
        <w:jc w:val="both"/>
        <w:rPr>
          <w:rFonts w:eastAsia="Calibri"/>
        </w:rPr>
      </w:pPr>
      <w:r>
        <w:rPr>
          <w:rFonts w:eastAsia="Calibri"/>
        </w:rPr>
      </w:r>
    </w:p>
    <w:p>
      <w:pPr>
        <w:pStyle w:val="Normal"/>
        <w:spacing w:lineRule="auto" w:line="240" w:before="0" w:after="160"/>
        <w:ind w:right="-766" w:hanging="0"/>
        <w:contextualSpacing/>
        <w:jc w:val="center"/>
        <w:rPr>
          <w:b/>
          <w:b/>
          <w:lang w:eastAsia="lv-LV"/>
        </w:rPr>
      </w:pPr>
      <w:r>
        <w:rPr>
          <w:b/>
          <w:lang w:eastAsia="lv-LV"/>
        </w:rPr>
        <w:t>7.  LĪGUMA GROZĪŠANA, IZBEIGŠANA</w:t>
      </w:r>
    </w:p>
    <w:p>
      <w:pPr>
        <w:pStyle w:val="Normal"/>
        <w:tabs>
          <w:tab w:val="clear" w:pos="720"/>
          <w:tab w:val="left" w:pos="426" w:leader="none"/>
          <w:tab w:val="left" w:pos="540" w:leader="none"/>
        </w:tabs>
        <w:spacing w:lineRule="auto" w:line="240"/>
        <w:ind w:right="-3" w:hanging="0"/>
        <w:jc w:val="both"/>
        <w:rPr/>
      </w:pPr>
      <w:r>
        <w:rPr>
          <w:lang w:eastAsia="lv-LV"/>
        </w:rPr>
        <w:t xml:space="preserve">7.1 </w:t>
      </w:r>
      <w:r>
        <w:rPr/>
        <w:t>Līgumu var papildināt, grozīt Līdzējiem savstarpēji vienojoties. Jebkuras Līguma izmaiņas vai papildinājumi tiek noformēti rakstveidā un kļūst par Līguma neatņemamām sastāvdaļām.</w:t>
      </w:r>
    </w:p>
    <w:p>
      <w:pPr>
        <w:pStyle w:val="Normal"/>
        <w:spacing w:lineRule="auto" w:line="240" w:before="0" w:after="160"/>
        <w:ind w:right="-17" w:hanging="0"/>
        <w:contextualSpacing/>
        <w:jc w:val="both"/>
        <w:rPr>
          <w:b/>
          <w:b/>
          <w:lang w:eastAsia="lv-LV"/>
        </w:rPr>
      </w:pPr>
      <w:r>
        <w:rPr>
          <w:lang w:eastAsia="lv-LV"/>
        </w:rPr>
        <w:t>7.2. Pasūtītājs ir tiesīgs vienpusēji izbeigt Līgumu sekojošos gadījumos, rakstveidā paziņojot par to Izpildītājam, vismaz 20 (divdesmit) dienas iepriekš, ja:</w:t>
      </w:r>
    </w:p>
    <w:p>
      <w:pPr>
        <w:pStyle w:val="Normal"/>
        <w:spacing w:lineRule="auto" w:line="240" w:before="0" w:after="160"/>
        <w:ind w:left="426" w:right="-17" w:hanging="0"/>
        <w:contextualSpacing/>
        <w:jc w:val="both"/>
        <w:rPr>
          <w:b/>
          <w:b/>
          <w:lang w:eastAsia="lv-LV"/>
        </w:rPr>
      </w:pPr>
      <w:r>
        <w:rPr>
          <w:lang w:eastAsia="lv-LV"/>
        </w:rPr>
        <w:t>7.2.1. Izpildītājs tiek pasludināts par maksātnespējīgu, vai ir sākta Izpildītāja likvidācijas procedūra;</w:t>
      </w:r>
    </w:p>
    <w:p>
      <w:pPr>
        <w:pStyle w:val="Normal"/>
        <w:spacing w:lineRule="auto" w:line="240" w:before="0" w:after="160"/>
        <w:ind w:left="426" w:right="-17" w:hanging="0"/>
        <w:contextualSpacing/>
        <w:jc w:val="both"/>
        <w:rPr>
          <w:b/>
          <w:b/>
          <w:lang w:eastAsia="lv-LV"/>
        </w:rPr>
      </w:pPr>
      <w:r>
        <w:rPr>
          <w:lang w:eastAsia="lv-LV"/>
        </w:rPr>
        <w:t>7.2.2. tiek apturēta vai izbeigta Izpildītāja vai tā apakšuzņēmēju profesionālās darbības sertifikāta/atļaujas darbība;</w:t>
      </w:r>
    </w:p>
    <w:p>
      <w:pPr>
        <w:pStyle w:val="Normal"/>
        <w:spacing w:lineRule="auto" w:line="240" w:before="0" w:after="160"/>
        <w:ind w:left="426" w:right="-17" w:hanging="0"/>
        <w:contextualSpacing/>
        <w:jc w:val="both"/>
        <w:rPr>
          <w:b/>
          <w:b/>
          <w:lang w:eastAsia="lv-LV"/>
        </w:rPr>
      </w:pPr>
      <w:r>
        <w:rPr>
          <w:lang w:eastAsia="lv-LV"/>
        </w:rPr>
        <w:t>7.2.3. Izpildītājs savas vainas dēļ pieļauj Līgumā noteikto saistību izpildes kavējumu un kavējums pārsniedz 20 (divdesmit) dienas;</w:t>
      </w:r>
    </w:p>
    <w:p>
      <w:pPr>
        <w:pStyle w:val="Normal"/>
        <w:spacing w:lineRule="auto" w:line="240" w:before="0" w:after="160"/>
        <w:ind w:left="426" w:right="-17" w:hanging="0"/>
        <w:contextualSpacing/>
        <w:jc w:val="both"/>
        <w:rPr>
          <w:b/>
          <w:b/>
          <w:lang w:eastAsia="lv-LV"/>
        </w:rPr>
      </w:pPr>
      <w:r>
        <w:rPr>
          <w:lang w:eastAsia="lv-LV"/>
        </w:rPr>
        <w:t xml:space="preserve">7.2.4. Izpildītājs veic Autoruzraudzību </w:t>
      </w:r>
      <w:r>
        <w:rPr/>
        <w:t>neatbilstoši Tehniskajai specifikācijai, Līguma nosacījumiem vai normatīvajiem aktiem</w:t>
      </w:r>
      <w:r>
        <w:rPr>
          <w:lang w:eastAsia="lv-LV"/>
        </w:rPr>
        <w:t>;</w:t>
      </w:r>
    </w:p>
    <w:p>
      <w:pPr>
        <w:pStyle w:val="Normal"/>
        <w:spacing w:lineRule="auto" w:line="240" w:before="0" w:after="160"/>
        <w:ind w:left="426" w:right="-17" w:hanging="0"/>
        <w:contextualSpacing/>
        <w:jc w:val="both"/>
        <w:rPr>
          <w:b/>
          <w:b/>
          <w:lang w:eastAsia="lv-LV"/>
        </w:rPr>
      </w:pPr>
      <w:r>
        <w:rPr>
          <w:lang w:eastAsia="lv-LV"/>
        </w:rPr>
        <w:t>7.2.5. Izpildītājs nenovērš defektus un/vai nepilnības veiktās Autoruzraudzības izpildē Līgumā paredzētajā kārtībā.</w:t>
      </w:r>
    </w:p>
    <w:p>
      <w:pPr>
        <w:pStyle w:val="Normal"/>
        <w:spacing w:lineRule="auto" w:line="240"/>
        <w:jc w:val="both"/>
        <w:rPr/>
      </w:pPr>
      <w:r>
        <w:rPr>
          <w:lang w:eastAsia="lv-LV"/>
        </w:rPr>
        <w:t xml:space="preserve">7.3. </w:t>
      </w:r>
      <w:r>
        <w:rPr/>
        <w:t>Izbeidzot Līgumu 7.3.punktā noteiktajos gadījumos, Puses sastāda un paraksta atsevišķu aktu par faktiski kvalitatīvi veikto Autoruzraudzību, kā arī par Autoruzraudzības izpildē konstatētajiem defektiem un/vai nepilnībām. Pasūtītājs samaksā Izpildītājam par kvalitatīvi veikto Autoruzraudzību, atbilstoši sastādītajam aktam. Izdarot samaksu, Pasūtītājs ir tiesīgs ieturēt aprēķināto līgumsodu vai zaudējumu atlīdzību saskaņā ar Pušu parakstīto aktu. Puses savstarpējo norēķinu šajā punktā minētajā gadījumā veic 20 (divdesmit) dienu laikā pēc šajā punktā minētā akta parakstīšanas.</w:t>
      </w:r>
    </w:p>
    <w:p>
      <w:pPr>
        <w:pStyle w:val="Normal"/>
        <w:spacing w:lineRule="auto" w:line="240" w:before="0" w:after="0"/>
        <w:ind w:right="-17" w:hanging="0"/>
        <w:contextualSpacing/>
        <w:jc w:val="both"/>
        <w:rPr>
          <w:lang w:eastAsia="lv-LV"/>
        </w:rPr>
      </w:pPr>
      <w:r>
        <w:rPr>
          <w:lang w:eastAsia="lv-LV"/>
        </w:rPr>
        <w:t>7.4. Izpildītājs ir tiesīgs vienpusēji izbeigt Līgumu, rakstveidā par to paziņojot Pasūtītājam, vismaz 20 (divdesmit) dienas iepriekš, ja pēc rakstiski izsūtītas un saņemtas Izpildītāja vēstules netiek ievērots maksājuma termiņš un kavējuma ilgums pārsniedz 10 (desmit) darba dienas.</w:t>
      </w:r>
    </w:p>
    <w:p>
      <w:pPr>
        <w:pStyle w:val="Normal"/>
        <w:spacing w:lineRule="auto" w:line="240" w:before="0" w:after="0"/>
        <w:ind w:right="-17" w:hanging="0"/>
        <w:contextualSpacing/>
        <w:jc w:val="both"/>
        <w:rPr/>
      </w:pPr>
      <w:r>
        <w:rPr>
          <w:lang w:eastAsia="lv-LV"/>
        </w:rPr>
        <w:t xml:space="preserve">7.5. </w:t>
      </w:r>
      <w:r>
        <w:rPr/>
        <w:t xml:space="preserve">Līguma izbeigšana saistību neizpildes dēļ neierobežo Pasūtītāja tiesības uz zaudējumu atlīdzību vai līgumsodu. </w:t>
      </w:r>
    </w:p>
    <w:p>
      <w:pPr>
        <w:pStyle w:val="Normal"/>
        <w:spacing w:lineRule="auto" w:line="240" w:before="0" w:after="0"/>
        <w:ind w:right="-17" w:hanging="0"/>
        <w:contextualSpacing/>
        <w:jc w:val="both"/>
        <w:rPr>
          <w:b/>
          <w:b/>
          <w:lang w:eastAsia="lv-LV"/>
        </w:rPr>
      </w:pPr>
      <w:r>
        <w:rPr>
          <w:b/>
          <w:lang w:eastAsia="lv-LV"/>
        </w:rPr>
      </w:r>
    </w:p>
    <w:p>
      <w:pPr>
        <w:pStyle w:val="Normal"/>
        <w:overflowPunct w:val="true"/>
        <w:spacing w:lineRule="auto" w:line="240"/>
        <w:jc w:val="center"/>
        <w:textAlignment w:val="baseline"/>
        <w:rPr>
          <w:rFonts w:eastAsia="Calibri"/>
          <w:b/>
          <w:b/>
          <w:color w:val="000000"/>
        </w:rPr>
      </w:pPr>
      <w:r>
        <w:rPr>
          <w:rFonts w:eastAsia="Calibri"/>
          <w:b/>
          <w:color w:val="000000"/>
        </w:rPr>
        <w:t>8. CITI NOTEIKUMI</w:t>
      </w:r>
    </w:p>
    <w:p>
      <w:pPr>
        <w:pStyle w:val="Normal"/>
        <w:overflowPunct w:val="true"/>
        <w:spacing w:lineRule="auto" w:line="240" w:before="0" w:after="200"/>
        <w:contextualSpacing/>
        <w:jc w:val="both"/>
        <w:textAlignment w:val="baseline"/>
        <w:rPr>
          <w:rFonts w:eastAsia="Calibri"/>
          <w:color w:val="000000"/>
          <w:lang w:eastAsia="lv-LV"/>
        </w:rPr>
      </w:pPr>
      <w:r>
        <w:rPr>
          <w:rFonts w:eastAsia="Calibri"/>
          <w:color w:val="000000"/>
        </w:rPr>
        <w:t xml:space="preserve">8.1. </w:t>
      </w:r>
      <w:r>
        <w:rPr>
          <w:rFonts w:eastAsia="Calibri"/>
        </w:rPr>
        <w:t>Jebkāda ar Līgumu saistīta un jebkurā formā pieejama informācija vai citāda veida dati, tai skaitā, Izpildītāja sagatavotie materiāli, pieder Pasūtītājam un ir tā īpašums. Izpildītājam nav tiesību jebkādā veidā ierobežot Pasūtītāja tiesības brīvi un pēc saviem ieskatiem rīkoties ar tiem.</w:t>
      </w:r>
    </w:p>
    <w:p>
      <w:pPr>
        <w:pStyle w:val="Normal"/>
        <w:overflowPunct w:val="true"/>
        <w:spacing w:lineRule="auto" w:line="240"/>
        <w:jc w:val="both"/>
        <w:textAlignment w:val="baseline"/>
        <w:rPr>
          <w:rFonts w:eastAsia="Calibri"/>
          <w:color w:val="000000"/>
        </w:rPr>
      </w:pPr>
      <w:r>
        <w:rPr>
          <w:rFonts w:eastAsia="Calibri"/>
        </w:rPr>
        <w:t>8.2. Strīdus, kas varētu rasties starp Pusēm Līguma izpildes laikā, Puses risina savstarpējo sarunu ceļā, savukārt ja strīdu nav iespējams atrisināt savstarpējo sarunu ceļā, tad strīds izskatāms tiesā Latvijas Republikas normatīvajos aktos paredzētajā kārtībā.</w:t>
      </w:r>
    </w:p>
    <w:p>
      <w:pPr>
        <w:pStyle w:val="Normal"/>
        <w:overflowPunct w:val="true"/>
        <w:spacing w:lineRule="auto" w:line="240"/>
        <w:jc w:val="both"/>
        <w:textAlignment w:val="baseline"/>
        <w:rPr>
          <w:rFonts w:eastAsia="Calibri"/>
          <w:color w:val="000000"/>
        </w:rPr>
      </w:pPr>
      <w:r>
        <w:rPr>
          <w:rFonts w:eastAsia="Calibri"/>
          <w:color w:val="000000"/>
        </w:rPr>
        <w:t>8.</w:t>
      </w:r>
      <w:r>
        <w:rPr>
          <w:rFonts w:eastAsia="Calibri"/>
        </w:rPr>
        <w:t>3. Visa informācija, izņemot informāciju, kas ir publiski pieejama, ko Līguma darbības laikā sniedz Puse tiek uzskatīta par neizpaužamu bez otras Puses rakstveida piekrišanas.</w:t>
      </w:r>
    </w:p>
    <w:p>
      <w:pPr>
        <w:pStyle w:val="Normal"/>
        <w:overflowPunct w:val="true"/>
        <w:spacing w:lineRule="auto" w:line="240"/>
        <w:jc w:val="both"/>
        <w:textAlignment w:val="baseline"/>
        <w:rPr>
          <w:rFonts w:eastAsia="Calibri"/>
          <w:color w:val="000000"/>
        </w:rPr>
      </w:pPr>
      <w:r>
        <w:rPr>
          <w:rFonts w:eastAsia="Calibri"/>
        </w:rPr>
        <w:t>8.4. Pusei ir pienākums 5 (piecu) dienu laikā rakstveidā - ierakstītas vēstules veidā paziņot otrai Pusei par šajā Līgumā norādīto rekvizītu, paraksta tiesību un adrešu maiņu, pretējā gadījumā nepaziņojusī Puse nevar atsaukties uz saistību neizpildi, ko izraisījis nepaziņošanas fakts.</w:t>
      </w:r>
    </w:p>
    <w:p>
      <w:pPr>
        <w:pStyle w:val="Normal"/>
        <w:overflowPunct w:val="true"/>
        <w:spacing w:lineRule="auto" w:line="240"/>
        <w:jc w:val="both"/>
        <w:textAlignment w:val="baseline"/>
        <w:rPr>
          <w:rFonts w:eastAsia="Calibri"/>
          <w:color w:val="000000"/>
        </w:rPr>
      </w:pPr>
      <w:r>
        <w:rPr>
          <w:rFonts w:eastAsia="Calibri"/>
        </w:rPr>
        <w:t>8.5. Neviena no Pusēm nav tiesīga nodot savas tiesības un saistības trešajām personām bez otras Puses rakstveida piekrišanas.</w:t>
      </w:r>
    </w:p>
    <w:p>
      <w:pPr>
        <w:pStyle w:val="Normal"/>
        <w:overflowPunct w:val="true"/>
        <w:spacing w:lineRule="auto" w:line="240"/>
        <w:jc w:val="both"/>
        <w:textAlignment w:val="baseline"/>
        <w:rPr>
          <w:rFonts w:eastAsia="Calibri"/>
          <w:color w:val="000000"/>
        </w:rPr>
      </w:pPr>
      <w:r>
        <w:rPr>
          <w:rFonts w:eastAsia="Calibri"/>
          <w:color w:val="000000"/>
        </w:rPr>
        <w:t>8.6. Pasūtītājs par pilnvaroto pārstāvi Līguma izpildes laikā nosaka __</w:t>
        <w:softHyphen/>
        <w:softHyphen/>
        <w:softHyphen/>
        <w:softHyphen/>
        <w:t>_________________ mob. tālr. _________, e-pasts:</w:t>
      </w:r>
      <w:r>
        <w:rPr>
          <w:rFonts w:eastAsia="Calibri"/>
        </w:rPr>
        <w:t>_________</w:t>
      </w:r>
      <w:r>
        <w:rPr>
          <w:rFonts w:eastAsia="Calibri"/>
          <w:color w:val="000000"/>
          <w:u w:val="single"/>
        </w:rPr>
        <w:t xml:space="preserve">  </w:t>
      </w:r>
      <w:r>
        <w:rPr>
          <w:rFonts w:eastAsia="Calibri"/>
          <w:color w:val="000000"/>
        </w:rPr>
        <w:t xml:space="preserve"> </w:t>
      </w:r>
    </w:p>
    <w:p>
      <w:pPr>
        <w:pStyle w:val="Normal"/>
        <w:overflowPunct w:val="true"/>
        <w:spacing w:lineRule="auto" w:line="240"/>
        <w:jc w:val="both"/>
        <w:textAlignment w:val="baseline"/>
        <w:rPr>
          <w:rFonts w:eastAsia="Calibri"/>
          <w:color w:val="000000"/>
        </w:rPr>
      </w:pPr>
      <w:r>
        <w:rPr>
          <w:rFonts w:eastAsia="Calibri"/>
          <w:color w:val="000000"/>
        </w:rPr>
        <w:t>8.7. Izpildītājs par pilnvaroto pārstāvi Līguma izpildes laikā nosaka__________________, mob. tālr. ______, e-pasts: ________</w:t>
      </w:r>
    </w:p>
    <w:p>
      <w:pPr>
        <w:pStyle w:val="Normal"/>
        <w:overflowPunct w:val="true"/>
        <w:spacing w:lineRule="auto" w:line="240"/>
        <w:jc w:val="both"/>
        <w:textAlignment w:val="baseline"/>
        <w:rPr>
          <w:rFonts w:eastAsia="Calibri"/>
        </w:rPr>
      </w:pPr>
      <w:r>
        <w:rPr>
          <w:rFonts w:eastAsia="Calibri"/>
        </w:rPr>
        <w:t xml:space="preserve">8.8. </w:t>
      </w:r>
      <w:r>
        <w:rPr/>
        <w:t>Puses apliecina, ka ir iepazinušās ar Līguma noteikumiem un atzīst tos par saprotamiem, saistošiem un izpildāmiem. Izpildītājs apliecina, ka tam ir visas nepieciešamās zināšanas, pieredze, darbaspēks un materiāltehniskais nodrošinājums Autoruzraudzības sniegšanai.</w:t>
      </w:r>
    </w:p>
    <w:p>
      <w:pPr>
        <w:pStyle w:val="Normal"/>
        <w:overflowPunct w:val="true"/>
        <w:spacing w:lineRule="auto" w:line="240"/>
        <w:jc w:val="both"/>
        <w:textAlignment w:val="baseline"/>
        <w:rPr>
          <w:rFonts w:eastAsia="Calibri"/>
          <w:color w:val="000000"/>
        </w:rPr>
      </w:pPr>
      <w:r>
        <w:rPr>
          <w:rFonts w:eastAsia="Calibri"/>
          <w:color w:val="000000"/>
        </w:rPr>
        <w:t>8.9. Ja kāds no Līguma noteikumiem zaudē juridisko spēku, tas neietekmē citus Līguma noteikumus.</w:t>
      </w:r>
    </w:p>
    <w:p>
      <w:pPr>
        <w:pStyle w:val="Normal"/>
        <w:overflowPunct w:val="true"/>
        <w:spacing w:lineRule="auto" w:line="240"/>
        <w:jc w:val="both"/>
        <w:textAlignment w:val="baseline"/>
        <w:rPr>
          <w:rFonts w:eastAsia="Calibri"/>
          <w:color w:val="000000"/>
        </w:rPr>
      </w:pPr>
      <w:r>
        <w:rPr>
          <w:rFonts w:eastAsia="Calibri"/>
          <w:color w:val="000000"/>
        </w:rPr>
        <w:t>8.10. Līgumam ir sekojoši pielikumi:</w:t>
      </w:r>
    </w:p>
    <w:p>
      <w:pPr>
        <w:pStyle w:val="Normal"/>
        <w:overflowPunct w:val="true"/>
        <w:spacing w:lineRule="auto" w:line="240"/>
        <w:ind w:firstLine="567"/>
        <w:jc w:val="both"/>
        <w:textAlignment w:val="baseline"/>
        <w:rPr>
          <w:rFonts w:eastAsia="Calibri"/>
          <w:color w:val="000000"/>
        </w:rPr>
      </w:pPr>
      <w:r>
        <w:rPr>
          <w:rFonts w:eastAsia="Calibri"/>
          <w:color w:val="000000"/>
        </w:rPr>
        <w:t>1. pielikums - Tehniskā specifikācija;</w:t>
      </w:r>
    </w:p>
    <w:p>
      <w:pPr>
        <w:pStyle w:val="Normal"/>
        <w:overflowPunct w:val="true"/>
        <w:spacing w:lineRule="auto" w:line="240"/>
        <w:ind w:left="567" w:hanging="0"/>
        <w:jc w:val="both"/>
        <w:textAlignment w:val="baseline"/>
        <w:rPr>
          <w:rFonts w:eastAsia="Calibri"/>
          <w:color w:val="000000"/>
        </w:rPr>
      </w:pPr>
      <w:r>
        <w:rPr>
          <w:rFonts w:eastAsia="Calibri"/>
          <w:color w:val="000000"/>
        </w:rPr>
        <w:t>2.pielikums – Pieteikums dalībai iepirkumā;</w:t>
      </w:r>
    </w:p>
    <w:p>
      <w:pPr>
        <w:pStyle w:val="Normal"/>
        <w:overflowPunct w:val="true"/>
        <w:spacing w:lineRule="auto" w:line="240"/>
        <w:ind w:firstLine="567"/>
        <w:jc w:val="both"/>
        <w:textAlignment w:val="baseline"/>
        <w:rPr>
          <w:rFonts w:eastAsia="Calibri"/>
          <w:color w:val="000000"/>
        </w:rPr>
      </w:pPr>
      <w:r>
        <w:rPr>
          <w:rFonts w:eastAsia="Calibri"/>
          <w:color w:val="000000"/>
        </w:rPr>
        <w:t>3. pielikums - Finanšu piedāvājums.</w:t>
      </w:r>
    </w:p>
    <w:p>
      <w:pPr>
        <w:pStyle w:val="Normal"/>
        <w:overflowPunct w:val="true"/>
        <w:spacing w:lineRule="auto" w:line="240"/>
        <w:jc w:val="both"/>
        <w:textAlignment w:val="baseline"/>
        <w:rPr>
          <w:rFonts w:eastAsia="Calibri"/>
          <w:color w:val="000000"/>
        </w:rPr>
      </w:pPr>
      <w:r>
        <w:rPr>
          <w:rFonts w:eastAsia="Calibri"/>
          <w:color w:val="000000"/>
        </w:rPr>
        <w:t>8.11. Līgums sagatavots 2 (divos) identiskos eksemplāros ar vienādu juridisko spēku, no kuriem viens glabājas pie Pasūtītāja, bet otrs – pie Izpildītāja.</w:t>
      </w:r>
    </w:p>
    <w:p>
      <w:pPr>
        <w:pStyle w:val="Normal"/>
        <w:widowControl w:val="false"/>
        <w:tabs>
          <w:tab w:val="clear" w:pos="720"/>
          <w:tab w:val="left" w:pos="0" w:leader="none"/>
          <w:tab w:val="left" w:pos="1276" w:leader="none"/>
        </w:tabs>
        <w:overflowPunct w:val="true"/>
        <w:spacing w:lineRule="auto" w:line="240"/>
        <w:jc w:val="both"/>
        <w:rPr>
          <w:rFonts w:eastAsia="Calibri"/>
          <w:color w:val="000000"/>
        </w:rPr>
      </w:pPr>
      <w:r>
        <w:rPr>
          <w:rFonts w:eastAsia="Calibri"/>
          <w:color w:val="000000"/>
        </w:rPr>
      </w:r>
    </w:p>
    <w:p>
      <w:pPr>
        <w:pStyle w:val="Normal"/>
        <w:widowControl w:val="false"/>
        <w:tabs>
          <w:tab w:val="clear" w:pos="720"/>
          <w:tab w:val="left" w:pos="0" w:leader="none"/>
          <w:tab w:val="left" w:pos="1276" w:leader="none"/>
        </w:tabs>
        <w:overflowPunct w:val="true"/>
        <w:spacing w:lineRule="auto" w:line="240"/>
        <w:jc w:val="both"/>
        <w:rPr/>
      </w:pPr>
      <w:r>
        <w:rPr/>
      </w:r>
    </w:p>
    <w:p>
      <w:pPr>
        <w:pStyle w:val="Normal"/>
        <w:suppressAutoHyphens w:val="true"/>
        <w:spacing w:lineRule="auto" w:line="240" w:before="0" w:after="160"/>
        <w:jc w:val="center"/>
        <w:rPr>
          <w:b/>
          <w:b/>
          <w:bCs/>
          <w:lang w:eastAsia="lv-LV"/>
        </w:rPr>
      </w:pPr>
      <w:r>
        <w:rPr>
          <w:b/>
          <w:bCs/>
          <w:lang w:eastAsia="lv-LV"/>
        </w:rPr>
        <w:t>9. PUŠU JURIDISKĀS ADRESES, REKVIZĪTI, PARAKSTI</w:t>
      </w:r>
    </w:p>
    <w:p>
      <w:pPr>
        <w:pStyle w:val="Normal"/>
        <w:tabs>
          <w:tab w:val="clear" w:pos="720"/>
          <w:tab w:val="left" w:pos="0" w:leader="none"/>
        </w:tabs>
        <w:spacing w:lineRule="auto" w:line="240" w:before="0" w:after="160"/>
        <w:ind w:right="-17" w:hanging="0"/>
        <w:contextualSpacing/>
        <w:jc w:val="both"/>
        <w:rPr>
          <w:b/>
          <w:b/>
          <w:bCs/>
          <w:lang w:eastAsia="lv-LV"/>
        </w:rPr>
      </w:pPr>
      <w:r>
        <w:rPr>
          <w:b/>
          <w:bCs/>
          <w:lang w:eastAsia="lv-LV"/>
        </w:rPr>
        <w:t>PASŪTĪTĀJS:                                                       IZPILDĪTĀJS:</w:t>
      </w:r>
    </w:p>
    <w:p>
      <w:pPr>
        <w:pStyle w:val="Normal"/>
        <w:tabs>
          <w:tab w:val="clear" w:pos="720"/>
          <w:tab w:val="left" w:pos="0" w:leader="none"/>
        </w:tabs>
        <w:spacing w:lineRule="auto" w:line="240" w:before="0" w:after="160"/>
        <w:ind w:right="-17" w:hanging="0"/>
        <w:contextualSpacing/>
        <w:jc w:val="both"/>
        <w:rPr>
          <w:b/>
          <w:b/>
          <w:bCs/>
          <w:lang w:eastAsia="lv-LV"/>
        </w:rPr>
      </w:pPr>
      <w:r>
        <w:rPr>
          <w:b/>
          <w:bCs/>
          <w:lang w:eastAsia="lv-LV"/>
        </w:rPr>
      </w:r>
    </w:p>
    <w:p>
      <w:pPr>
        <w:pStyle w:val="Normal"/>
        <w:spacing w:lineRule="auto" w:line="240"/>
        <w:rPr/>
      </w:pPr>
      <w:r>
        <w:rPr/>
      </w:r>
    </w:p>
    <w:sectPr>
      <w:footerReference w:type="default" r:id="rId2"/>
      <w:type w:val="nextPage"/>
      <w:pgSz w:w="11906" w:h="16838"/>
      <w:pgMar w:left="1701" w:right="1134" w:gutter="0" w:header="0" w:top="1134" w:footer="272"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67062286"/>
    </w:sdtPr>
    <w:sdtContent>
      <w:p>
        <w:pPr>
          <w:pStyle w:val="Footer"/>
          <w:jc w:val="right"/>
          <w:rPr>
            <w:sz w:val="22"/>
            <w:szCs w:val="22"/>
          </w:rPr>
        </w:pPr>
        <w:r>
          <w:rPr>
            <w:sz w:val="22"/>
            <w:szCs w:val="22"/>
          </w:rPr>
          <w:fldChar w:fldCharType="begin"/>
        </w:r>
        <w:r>
          <w:rPr>
            <w:sz w:val="22"/>
            <w:szCs w:val="22"/>
          </w:rPr>
          <w:instrText> PAGE </w:instrText>
        </w:r>
        <w:r>
          <w:rPr>
            <w:sz w:val="22"/>
            <w:szCs w:val="22"/>
          </w:rPr>
          <w:fldChar w:fldCharType="separate"/>
        </w:r>
        <w:r>
          <w:rPr>
            <w:sz w:val="22"/>
            <w:szCs w:val="22"/>
          </w:rPr>
          <w:t>5</w:t>
        </w:r>
        <w:r>
          <w:rPr>
            <w:sz w:val="22"/>
            <w:szCs w:val="22"/>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67"/>
        </w:tabs>
        <w:ind w:left="851" w:hanging="851"/>
      </w:pPr>
    </w:lvl>
    <w:lvl w:ilvl="1">
      <w:start w:val="1"/>
      <w:numFmt w:val="decimal"/>
      <w:lvlText w:val="%1.%2."/>
      <w:lvlJc w:val="left"/>
      <w:pPr>
        <w:tabs>
          <w:tab w:val="num" w:pos="792"/>
        </w:tabs>
        <w:ind w:left="792" w:hanging="432"/>
      </w:pPr>
      <w:rPr>
        <w:i w:val="false"/>
        <w:b w:val="false"/>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lvl w:ilvl="0">
      <w:start w:val="2"/>
      <w:numFmt w:val="decimal"/>
      <w:lvlText w:val="%1."/>
      <w:lvlJc w:val="left"/>
      <w:pPr>
        <w:tabs>
          <w:tab w:val="num" w:pos="0"/>
        </w:tabs>
        <w:ind w:left="360" w:hanging="360"/>
      </w:pPr>
    </w:lvl>
    <w:lvl w:ilvl="1">
      <w:start w:val="1"/>
      <w:numFmt w:val="decimal"/>
      <w:lvlText w:val="%1.%2."/>
      <w:lvlJc w:val="left"/>
      <w:pPr>
        <w:tabs>
          <w:tab w:val="num" w:pos="0"/>
        </w:tabs>
        <w:ind w:left="501" w:hanging="360"/>
      </w:pPr>
      <w:rPr>
        <w:b w:val="false"/>
        <w:color w:val="000000"/>
      </w:rPr>
    </w:lvl>
    <w:lvl w:ilvl="2">
      <w:start w:val="1"/>
      <w:numFmt w:val="decimal"/>
      <w:lvlText w:val="%1.%2.%3."/>
      <w:lvlJc w:val="left"/>
      <w:pPr>
        <w:tabs>
          <w:tab w:val="num" w:pos="0"/>
        </w:tabs>
        <w:ind w:left="1855" w:hanging="720"/>
      </w:pPr>
      <w:rPr>
        <w:dstrike w:val="false"/>
        <w:strike w:val="false"/>
        <w:i w:val="false"/>
        <w:u w:val="none"/>
        <w:b w:val="false"/>
        <w:effect w:val="none"/>
        <w:color w:val="000000"/>
      </w:rPr>
    </w:lvl>
    <w:lvl w:ilvl="3">
      <w:start w:val="1"/>
      <w:numFmt w:val="decimal"/>
      <w:lvlText w:val="%1.%2.%3.%4."/>
      <w:lvlJc w:val="left"/>
      <w:pPr>
        <w:tabs>
          <w:tab w:val="num" w:pos="0"/>
        </w:tabs>
        <w:ind w:left="1143" w:hanging="720"/>
      </w:pPr>
    </w:lvl>
    <w:lvl w:ilvl="4">
      <w:start w:val="1"/>
      <w:numFmt w:val="decimal"/>
      <w:lvlText w:val="%1.%2.%3.%4.%5."/>
      <w:lvlJc w:val="left"/>
      <w:pPr>
        <w:tabs>
          <w:tab w:val="num" w:pos="0"/>
        </w:tabs>
        <w:ind w:left="1644" w:hanging="1080"/>
      </w:pPr>
    </w:lvl>
    <w:lvl w:ilvl="5">
      <w:start w:val="1"/>
      <w:numFmt w:val="decimal"/>
      <w:lvlText w:val="%1.%2.%3.%4.%5.%6."/>
      <w:lvlJc w:val="left"/>
      <w:pPr>
        <w:tabs>
          <w:tab w:val="num" w:pos="0"/>
        </w:tabs>
        <w:ind w:left="1785" w:hanging="1080"/>
      </w:pPr>
    </w:lvl>
    <w:lvl w:ilvl="6">
      <w:start w:val="1"/>
      <w:numFmt w:val="decimal"/>
      <w:lvlText w:val="%1.%2.%3.%4.%5.%6.%7."/>
      <w:lvlJc w:val="left"/>
      <w:pPr>
        <w:tabs>
          <w:tab w:val="num" w:pos="0"/>
        </w:tabs>
        <w:ind w:left="2286" w:hanging="1440"/>
      </w:pPr>
    </w:lvl>
    <w:lvl w:ilvl="7">
      <w:start w:val="1"/>
      <w:numFmt w:val="decimal"/>
      <w:lvlText w:val="%1.%2.%3.%4.%5.%6.%7.%8."/>
      <w:lvlJc w:val="left"/>
      <w:pPr>
        <w:tabs>
          <w:tab w:val="num" w:pos="0"/>
        </w:tabs>
        <w:ind w:left="2427" w:hanging="1440"/>
      </w:pPr>
    </w:lvl>
    <w:lvl w:ilvl="8">
      <w:start w:val="1"/>
      <w:numFmt w:val="decimal"/>
      <w:lvlText w:val="%1.%2.%3.%4.%5.%6.%7.%8.%9."/>
      <w:lvlJc w:val="left"/>
      <w:pPr>
        <w:tabs>
          <w:tab w:val="num" w:pos="0"/>
        </w:tabs>
        <w:ind w:left="2928" w:hanging="180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44c8c"/>
    <w:pPr>
      <w:widowControl/>
      <w:suppressAutoHyphens w:val="true"/>
      <w:bidi w:val="0"/>
      <w:spacing w:lineRule="auto" w:line="276" w:before="0" w:after="0"/>
      <w:jc w:val="left"/>
    </w:pPr>
    <w:rPr>
      <w:rFonts w:ascii="Times New Roman" w:hAnsi="Times New Roman" w:eastAsia="Times New Roman" w:cs="Times New Roman"/>
      <w:color w:val="auto"/>
      <w:kern w:val="0"/>
      <w:sz w:val="24"/>
      <w:szCs w:val="24"/>
      <w:lang w:val="lv-LV" w:eastAsia="en-US" w:bidi="ar-SA"/>
    </w:rPr>
  </w:style>
  <w:style w:type="character" w:styleId="DefaultParagraphFont" w:default="1">
    <w:name w:val="Default Paragraph Font"/>
    <w:uiPriority w:val="1"/>
    <w:semiHidden/>
    <w:unhideWhenUsed/>
    <w:qFormat/>
    <w:rPr/>
  </w:style>
  <w:style w:type="character" w:styleId="ListParagraphChar" w:customStyle="1">
    <w:name w:val="List Paragraph Char"/>
    <w:link w:val="ListParagraph"/>
    <w:uiPriority w:val="34"/>
    <w:qFormat/>
    <w:locked/>
    <w:rsid w:val="00544c8c"/>
    <w:rPr>
      <w:sz w:val="24"/>
      <w:szCs w:val="24"/>
    </w:rPr>
  </w:style>
  <w:style w:type="character" w:styleId="BalloonTextChar" w:customStyle="1">
    <w:name w:val="Balloon Text Char"/>
    <w:basedOn w:val="DefaultParagraphFont"/>
    <w:link w:val="BalloonText"/>
    <w:uiPriority w:val="99"/>
    <w:semiHidden/>
    <w:qFormat/>
    <w:rsid w:val="004e2fbf"/>
    <w:rPr>
      <w:rFonts w:ascii="Segoe UI" w:hAnsi="Segoe UI" w:eastAsia="Times New Roman" w:cs="Segoe UI"/>
      <w:sz w:val="18"/>
      <w:szCs w:val="18"/>
    </w:rPr>
  </w:style>
  <w:style w:type="character" w:styleId="HeaderChar" w:customStyle="1">
    <w:name w:val="Header Char"/>
    <w:basedOn w:val="DefaultParagraphFont"/>
    <w:link w:val="Header"/>
    <w:uiPriority w:val="99"/>
    <w:qFormat/>
    <w:rsid w:val="002b10f2"/>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2b10f2"/>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link w:val="ListParagraphChar"/>
    <w:uiPriority w:val="34"/>
    <w:qFormat/>
    <w:rsid w:val="00544c8c"/>
    <w:pPr>
      <w:spacing w:before="0" w:after="0"/>
      <w:ind w:left="720" w:hanging="0"/>
      <w:contextualSpacing/>
    </w:pPr>
    <w:rPr>
      <w:rFonts w:ascii="Calibri" w:hAnsi="Calibri" w:eastAsia="Calibri" w:cs="" w:asciiTheme="minorHAnsi" w:cstheme="minorBidi" w:eastAsiaTheme="minorHAnsi" w:hAnsiTheme="minorHAnsi"/>
    </w:rPr>
  </w:style>
  <w:style w:type="paragraph" w:styleId="BalloonText">
    <w:name w:val="Balloon Text"/>
    <w:basedOn w:val="Normal"/>
    <w:link w:val="BalloonTextChar"/>
    <w:uiPriority w:val="99"/>
    <w:semiHidden/>
    <w:unhideWhenUsed/>
    <w:qFormat/>
    <w:rsid w:val="004e2fbf"/>
    <w:pPr>
      <w:spacing w:lineRule="auto" w:line="240"/>
    </w:pPr>
    <w:rPr>
      <w:rFonts w:ascii="Segoe UI" w:hAnsi="Segoe UI" w:cs="Segoe UI"/>
      <w:sz w:val="18"/>
      <w:szCs w:val="18"/>
    </w:rPr>
  </w:style>
  <w:style w:type="paragraph" w:styleId="HeaderandFooter">
    <w:name w:val="Header and Footer"/>
    <w:basedOn w:val="Normal"/>
    <w:qFormat/>
    <w:pPr/>
    <w:rPr/>
  </w:style>
  <w:style w:type="paragraph" w:styleId="Header">
    <w:name w:val="Header"/>
    <w:basedOn w:val="Normal"/>
    <w:link w:val="HeaderChar"/>
    <w:uiPriority w:val="99"/>
    <w:unhideWhenUsed/>
    <w:rsid w:val="002b10f2"/>
    <w:pPr>
      <w:tabs>
        <w:tab w:val="clear" w:pos="720"/>
        <w:tab w:val="center" w:pos="4153" w:leader="none"/>
        <w:tab w:val="right" w:pos="8306" w:leader="none"/>
      </w:tabs>
      <w:spacing w:lineRule="auto" w:line="240"/>
    </w:pPr>
    <w:rPr/>
  </w:style>
  <w:style w:type="paragraph" w:styleId="Footer">
    <w:name w:val="Footer"/>
    <w:basedOn w:val="Normal"/>
    <w:link w:val="FooterChar"/>
    <w:uiPriority w:val="99"/>
    <w:unhideWhenUsed/>
    <w:rsid w:val="002b10f2"/>
    <w:pPr>
      <w:tabs>
        <w:tab w:val="clear" w:pos="720"/>
        <w:tab w:val="center" w:pos="4153" w:leader="none"/>
        <w:tab w:val="right" w:pos="8306" w:leader="none"/>
      </w:tabs>
      <w:spacing w:lineRule="auto" w:line="24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Application>LibreOffice/7.2.2.2$Windows_X86_64 LibreOffice_project/02b2acce88a210515b4a5bb2e46cbfb63fe97d56</Application>
  <AppVersion>15.0000</AppVersion>
  <Pages>6</Pages>
  <Words>2106</Words>
  <Characters>14766</Characters>
  <CharactersWithSpaces>16895</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2021-06-29T13:17:00Z</dcterms:created>
  <dc:creator>Līga Īle</dc:creator>
  <dc:description/>
  <dc:language>lv-LV</dc:language>
  <cp:lastModifiedBy/>
  <dcterms:modified xsi:type="dcterms:W3CDTF">2022-11-16T16:07:28Z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